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Default Extension="tiff" ContentType="image/tiff"/>
  <Override PartName="/word/charts/chart5.xml" ContentType="application/vnd.openxmlformats-officedocument.drawingml.chart+xml"/>
  <Default Extension="xlsx" ContentType="application/vnd.openxmlformats-officedocument.spreadsheetml.sheet"/>
  <Override PartName="/word/theme/theme1.xml" ContentType="application/vnd.openxmlformats-officedocument.them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2.xml" ContentType="application/vnd.openxmlformats-officedocument.drawingml.chart+xml"/>
  <Default Extension="rels" ContentType="application/vnd.openxmlformats-package.relationships+xml"/>
  <Override PartName="/word/styles.xml" ContentType="application/vnd.openxmlformats-officedocument.wordprocessingml.styles+xml"/>
  <Override PartName="/word/charts/chart4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92" w:rsidRDefault="003D1892" w:rsidP="003D1892">
      <w:pPr>
        <w:jc w:val="center"/>
        <w:rPr>
          <w:b/>
          <w:sz w:val="24"/>
        </w:rPr>
      </w:pPr>
    </w:p>
    <w:p w:rsidR="003D1892" w:rsidRDefault="003D1892" w:rsidP="003D1892">
      <w:pPr>
        <w:jc w:val="center"/>
        <w:rPr>
          <w:b/>
          <w:sz w:val="24"/>
        </w:rPr>
      </w:pPr>
    </w:p>
    <w:p w:rsidR="003D1892" w:rsidRDefault="003D1892" w:rsidP="003D1892">
      <w:pPr>
        <w:jc w:val="center"/>
        <w:rPr>
          <w:b/>
          <w:sz w:val="24"/>
        </w:rPr>
      </w:pPr>
    </w:p>
    <w:p w:rsidR="003D1892" w:rsidRDefault="004E2AC7" w:rsidP="003D1892">
      <w:pPr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inline distT="0" distB="0" distL="0" distR="0">
            <wp:extent cx="1837939" cy="12994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logo_def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78" cy="12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C7" w:rsidRDefault="004E2AC7" w:rsidP="003D1892">
      <w:pPr>
        <w:jc w:val="center"/>
        <w:rPr>
          <w:b/>
          <w:sz w:val="24"/>
        </w:rPr>
      </w:pPr>
    </w:p>
    <w:p w:rsidR="004E2AC7" w:rsidRDefault="004E2AC7" w:rsidP="003D1892">
      <w:pPr>
        <w:jc w:val="center"/>
        <w:rPr>
          <w:b/>
          <w:sz w:val="24"/>
        </w:rPr>
      </w:pPr>
    </w:p>
    <w:p w:rsidR="003D1892" w:rsidRDefault="003D1892" w:rsidP="003D1892">
      <w:pPr>
        <w:jc w:val="center"/>
        <w:rPr>
          <w:b/>
          <w:sz w:val="24"/>
        </w:rPr>
      </w:pPr>
    </w:p>
    <w:p w:rsidR="0090379F" w:rsidRDefault="0090379F" w:rsidP="009447D6"/>
    <w:p w:rsidR="00FC5303" w:rsidRPr="003D1892" w:rsidRDefault="00FC5303" w:rsidP="003D1892">
      <w:pPr>
        <w:keepNext/>
        <w:rPr>
          <w:b/>
        </w:rPr>
      </w:pPr>
      <w:r w:rsidRPr="003D1892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5610225"/>
            <wp:positionH relativeFrom="column">
              <wp:align>left</wp:align>
            </wp:positionH>
            <wp:positionV relativeFrom="paragraph">
              <wp:align>top</wp:align>
            </wp:positionV>
            <wp:extent cx="3998595" cy="2647315"/>
            <wp:effectExtent l="0" t="0" r="20955" b="19685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D95ABD" w:rsidRPr="003D1892">
        <w:rPr>
          <w:b/>
          <w:color w:val="000000" w:themeColor="text1"/>
          <w:sz w:val="28"/>
          <w:szCs w:val="28"/>
        </w:rPr>
        <w:t xml:space="preserve">Istogramma </w:t>
      </w:r>
      <w:proofErr w:type="gramStart"/>
      <w:r w:rsidR="00D95ABD" w:rsidRPr="003D1892">
        <w:rPr>
          <w:b/>
          <w:color w:val="000000" w:themeColor="text1"/>
          <w:sz w:val="28"/>
          <w:szCs w:val="28"/>
        </w:rPr>
        <w:t>1</w:t>
      </w:r>
      <w:proofErr w:type="gramEnd"/>
    </w:p>
    <w:p w:rsidR="00D95ABD" w:rsidRDefault="00D95ABD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3D1892" w:rsidRDefault="003D1892" w:rsidP="009447D6">
      <w:pPr>
        <w:rPr>
          <w:b/>
          <w:sz w:val="24"/>
        </w:rPr>
      </w:pPr>
    </w:p>
    <w:p w:rsidR="00D95ABD" w:rsidRDefault="00D95ABD" w:rsidP="009447D6">
      <w:pPr>
        <w:rPr>
          <w:b/>
          <w:sz w:val="24"/>
        </w:rPr>
      </w:pPr>
    </w:p>
    <w:p w:rsidR="00D95ABD" w:rsidRPr="003D1892" w:rsidRDefault="00D95ABD" w:rsidP="003D1892">
      <w:pPr>
        <w:keepNext/>
      </w:pPr>
      <w:r>
        <w:rPr>
          <w:b/>
          <w:noProof/>
          <w:sz w:val="24"/>
          <w:lang w:eastAsia="it-IT"/>
        </w:rPr>
        <w:drawing>
          <wp:inline distT="0" distB="0" distL="0" distR="0">
            <wp:extent cx="3998794" cy="2279176"/>
            <wp:effectExtent l="0" t="0" r="20955" b="2603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D1892">
        <w:rPr>
          <w:color w:val="000000" w:themeColor="text1"/>
          <w:sz w:val="30"/>
          <w:szCs w:val="30"/>
        </w:rPr>
        <w:t xml:space="preserve"> </w:t>
      </w:r>
      <w:r w:rsidR="001242EB" w:rsidRPr="003D1892">
        <w:rPr>
          <w:b/>
          <w:color w:val="000000" w:themeColor="text1"/>
          <w:sz w:val="28"/>
          <w:szCs w:val="28"/>
        </w:rPr>
        <w:t xml:space="preserve">Istogramma </w:t>
      </w:r>
      <w:proofErr w:type="gramStart"/>
      <w:r w:rsidR="001242EB" w:rsidRPr="003D1892">
        <w:rPr>
          <w:b/>
          <w:color w:val="000000" w:themeColor="text1"/>
          <w:sz w:val="28"/>
          <w:szCs w:val="28"/>
        </w:rPr>
        <w:t>2</w:t>
      </w:r>
      <w:proofErr w:type="gramEnd"/>
    </w:p>
    <w:p w:rsidR="003D1892" w:rsidRDefault="003D1892" w:rsidP="009447D6">
      <w:pPr>
        <w:rPr>
          <w:b/>
          <w:sz w:val="24"/>
        </w:rPr>
      </w:pPr>
    </w:p>
    <w:p w:rsidR="004E2AC7" w:rsidRDefault="004E2AC7" w:rsidP="009447D6">
      <w:pPr>
        <w:rPr>
          <w:b/>
          <w:sz w:val="24"/>
        </w:rPr>
      </w:pPr>
    </w:p>
    <w:p w:rsidR="003744B1" w:rsidRDefault="003744B1" w:rsidP="00535ED9">
      <w:pPr>
        <w:pStyle w:val="Paragrafoelenco"/>
        <w:jc w:val="both"/>
      </w:pPr>
    </w:p>
    <w:p w:rsidR="00677B7F" w:rsidRDefault="00677B7F" w:rsidP="003744B1">
      <w:pPr>
        <w:pStyle w:val="Didascalia"/>
        <w:ind w:firstLine="708"/>
        <w:jc w:val="center"/>
        <w:rPr>
          <w:color w:val="0D0D0D" w:themeColor="text1" w:themeTint="F2"/>
          <w:sz w:val="30"/>
          <w:szCs w:val="30"/>
        </w:rPr>
      </w:pPr>
      <w:r>
        <w:rPr>
          <w:noProof/>
          <w:lang w:eastAsia="it-IT"/>
        </w:rPr>
        <w:drawing>
          <wp:inline distT="0" distB="0" distL="0" distR="0">
            <wp:extent cx="3855493" cy="2251881"/>
            <wp:effectExtent l="0" t="0" r="12065" b="1524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744B1" w:rsidRPr="003744B1">
        <w:rPr>
          <w:color w:val="0D0D0D" w:themeColor="text1" w:themeTint="F2"/>
          <w:sz w:val="30"/>
          <w:szCs w:val="30"/>
        </w:rPr>
        <w:t xml:space="preserve"> </w:t>
      </w:r>
      <w:r w:rsidR="003744B1" w:rsidRPr="003744B1">
        <w:rPr>
          <w:color w:val="0D0D0D" w:themeColor="text1" w:themeTint="F2"/>
          <w:sz w:val="22"/>
          <w:szCs w:val="30"/>
        </w:rPr>
        <w:t xml:space="preserve">Istogramma </w:t>
      </w:r>
      <w:proofErr w:type="gramStart"/>
      <w:r w:rsidR="003744B1" w:rsidRPr="003744B1">
        <w:rPr>
          <w:color w:val="0D0D0D" w:themeColor="text1" w:themeTint="F2"/>
          <w:sz w:val="22"/>
          <w:szCs w:val="30"/>
        </w:rPr>
        <w:t>3</w:t>
      </w:r>
      <w:proofErr w:type="gramEnd"/>
    </w:p>
    <w:p w:rsidR="00677B7F" w:rsidRPr="003744B1" w:rsidRDefault="003744B1" w:rsidP="003744B1">
      <w:pPr>
        <w:keepNext/>
        <w:ind w:left="708" w:firstLine="708"/>
      </w:pPr>
      <w:r>
        <w:rPr>
          <w:color w:val="0D0D0D" w:themeColor="text1" w:themeTint="F2"/>
          <w:sz w:val="30"/>
          <w:szCs w:val="30"/>
        </w:rPr>
        <w:t xml:space="preserve"> </w:t>
      </w:r>
      <w:r w:rsidR="00677B7F">
        <w:rPr>
          <w:noProof/>
          <w:lang w:eastAsia="it-IT"/>
        </w:rPr>
        <w:drawing>
          <wp:inline distT="0" distB="0" distL="0" distR="0">
            <wp:extent cx="3848669" cy="2354239"/>
            <wp:effectExtent l="0" t="0" r="19050" b="2730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color w:val="0D0D0D" w:themeColor="text1" w:themeTint="F2"/>
          <w:sz w:val="30"/>
          <w:szCs w:val="30"/>
        </w:rPr>
        <w:t xml:space="preserve"> </w:t>
      </w:r>
      <w:r w:rsidR="00677B7F" w:rsidRPr="003744B1">
        <w:rPr>
          <w:b/>
          <w:color w:val="0D0D0D" w:themeColor="text1" w:themeTint="F2"/>
        </w:rPr>
        <w:t xml:space="preserve">Istogramma </w:t>
      </w:r>
      <w:proofErr w:type="gramStart"/>
      <w:r w:rsidR="00677B7F" w:rsidRPr="003744B1">
        <w:rPr>
          <w:b/>
          <w:color w:val="0D0D0D" w:themeColor="text1" w:themeTint="F2"/>
        </w:rPr>
        <w:t>4</w:t>
      </w:r>
      <w:proofErr w:type="gramEnd"/>
    </w:p>
    <w:p w:rsidR="00DE3F1D" w:rsidRDefault="00DE3F1D" w:rsidP="008415A4">
      <w:pPr>
        <w:jc w:val="both"/>
      </w:pPr>
    </w:p>
    <w:p w:rsidR="001051E5" w:rsidRDefault="001051E5" w:rsidP="001051E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00475" cy="1857375"/>
            <wp:effectExtent l="19050" t="0" r="9525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15A4" w:rsidRDefault="008415A4" w:rsidP="009447D6">
      <w:pPr>
        <w:jc w:val="both"/>
      </w:pPr>
    </w:p>
    <w:p w:rsidR="009447D6" w:rsidRDefault="009447D6" w:rsidP="00F37927">
      <w:pPr>
        <w:jc w:val="both"/>
        <w:rPr>
          <w:b/>
          <w:sz w:val="24"/>
        </w:rPr>
      </w:pPr>
      <w:r>
        <w:rPr>
          <w:b/>
          <w:sz w:val="24"/>
        </w:rPr>
        <w:t>Conclusioni</w:t>
      </w:r>
    </w:p>
    <w:p w:rsidR="004E2AC7" w:rsidRDefault="00D3625D" w:rsidP="003D1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Questi dati rappresentano una fotografia del fenomeno oncologico sul ter</w:t>
      </w:r>
      <w:r w:rsidR="00F37927">
        <w:rPr>
          <w:rFonts w:ascii="Calibri" w:hAnsi="Calibri" w:cs="Calibri"/>
        </w:rPr>
        <w:t xml:space="preserve">ritorio della Asl Napoli </w:t>
      </w:r>
      <w:proofErr w:type="gramStart"/>
      <w:r w:rsidR="00F37927">
        <w:rPr>
          <w:rFonts w:ascii="Calibri" w:hAnsi="Calibri" w:cs="Calibri"/>
        </w:rPr>
        <w:t>2</w:t>
      </w:r>
      <w:proofErr w:type="gramEnd"/>
      <w:r w:rsidR="00F37927">
        <w:rPr>
          <w:rFonts w:ascii="Calibri" w:hAnsi="Calibri" w:cs="Calibri"/>
        </w:rPr>
        <w:t xml:space="preserve"> Nord </w:t>
      </w:r>
      <w:r>
        <w:rPr>
          <w:rFonts w:ascii="Calibri" w:hAnsi="Calibri" w:cs="Calibri"/>
        </w:rPr>
        <w:t>registrata che si sta consolidando arricchendo la banca dati e cercando di a</w:t>
      </w:r>
      <w:r w:rsidR="00F37927">
        <w:rPr>
          <w:rFonts w:ascii="Calibri" w:hAnsi="Calibri" w:cs="Calibri"/>
        </w:rPr>
        <w:t xml:space="preserve">zzerare quanto prima il ritardo </w:t>
      </w:r>
      <w:r>
        <w:rPr>
          <w:rFonts w:ascii="Calibri" w:hAnsi="Calibri" w:cs="Calibri"/>
        </w:rPr>
        <w:t xml:space="preserve">temporale delle analisi. Una vera e </w:t>
      </w:r>
      <w:proofErr w:type="gramStart"/>
      <w:r>
        <w:rPr>
          <w:rFonts w:ascii="Calibri" w:hAnsi="Calibri" w:cs="Calibri"/>
        </w:rPr>
        <w:t>significativa</w:t>
      </w:r>
      <w:proofErr w:type="gramEnd"/>
      <w:r>
        <w:rPr>
          <w:rFonts w:ascii="Calibri" w:hAnsi="Calibri" w:cs="Calibri"/>
        </w:rPr>
        <w:t xml:space="preserve"> stima epidemiologica delle patologie oncologiche di interesse sul territorio aziendale e una prima stima dei tassi di sopravvivenza l’avremo a compimento della codifica e registrazione del quinquennio 2010-2014. Così come atteso, </w:t>
      </w:r>
      <w:r w:rsidRPr="00DE3F1D">
        <w:rPr>
          <w:rFonts w:ascii="Calibri" w:hAnsi="Calibri" w:cs="Calibri"/>
          <w:b/>
        </w:rPr>
        <w:t xml:space="preserve">l’analisi del quadriennio rispetto all’analisi del triennio precedente mostra che per entrambi i </w:t>
      </w:r>
      <w:proofErr w:type="gramStart"/>
      <w:r w:rsidRPr="00DE3F1D">
        <w:rPr>
          <w:rFonts w:ascii="Calibri" w:hAnsi="Calibri" w:cs="Calibri"/>
          <w:b/>
        </w:rPr>
        <w:t>sessi i</w:t>
      </w:r>
      <w:proofErr w:type="gramEnd"/>
      <w:r w:rsidRPr="00DE3F1D">
        <w:rPr>
          <w:rFonts w:ascii="Calibri" w:hAnsi="Calibri" w:cs="Calibri"/>
          <w:b/>
        </w:rPr>
        <w:t xml:space="preserve"> tassi standardizzati dimostrano che esiste un eccesso di incidenza statisticamente significativo, ma non rispetto al Nord, situando la Asl Napoli 2 Nord in una posizione di rischio intermedio.</w:t>
      </w:r>
    </w:p>
    <w:p w:rsidR="00B94395" w:rsidRDefault="00B94395">
      <w:pPr>
        <w:rPr>
          <w:rFonts w:ascii="Calibri" w:hAnsi="Calibri" w:cs="Calibri"/>
          <w:b/>
        </w:rPr>
      </w:pPr>
    </w:p>
    <w:p w:rsidR="004E2AC7" w:rsidRDefault="004E2AC7" w:rsidP="002F0FEB">
      <w:pPr>
        <w:ind w:left="708" w:hanging="708"/>
        <w:rPr>
          <w:rFonts w:ascii="Calibri" w:hAnsi="Calibri" w:cs="Calibri"/>
          <w:b/>
        </w:rPr>
      </w:pPr>
      <w:bookmarkStart w:id="0" w:name="_GoBack"/>
      <w:bookmarkEnd w:id="0"/>
    </w:p>
    <w:sectPr w:rsidR="004E2AC7" w:rsidSect="00355DE1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75" w:rsidRDefault="00FD5275" w:rsidP="009447D6">
      <w:pPr>
        <w:spacing w:after="0" w:line="240" w:lineRule="auto"/>
      </w:pPr>
      <w:r>
        <w:separator/>
      </w:r>
    </w:p>
  </w:endnote>
  <w:endnote w:type="continuationSeparator" w:id="0">
    <w:p w:rsidR="00FD5275" w:rsidRDefault="00FD5275" w:rsidP="0094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825419"/>
      <w:docPartObj>
        <w:docPartGallery w:val="Page Numbers (Bottom of Page)"/>
        <w:docPartUnique/>
      </w:docPartObj>
    </w:sdtPr>
    <w:sdtContent>
      <w:p w:rsidR="00DE3F1D" w:rsidRDefault="007549C9">
        <w:pPr>
          <w:pStyle w:val="Pidipagina"/>
          <w:jc w:val="right"/>
        </w:pPr>
        <w:fldSimple w:instr="PAGE   \* MERGEFORMAT">
          <w:r w:rsidR="00FC12CA">
            <w:rPr>
              <w:noProof/>
            </w:rPr>
            <w:t>2</w:t>
          </w:r>
        </w:fldSimple>
      </w:p>
    </w:sdtContent>
  </w:sdt>
  <w:p w:rsidR="00DE3F1D" w:rsidRDefault="00DE3F1D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75" w:rsidRDefault="00FD5275" w:rsidP="009447D6">
      <w:pPr>
        <w:spacing w:after="0" w:line="240" w:lineRule="auto"/>
      </w:pPr>
      <w:r>
        <w:separator/>
      </w:r>
    </w:p>
  </w:footnote>
  <w:footnote w:type="continuationSeparator" w:id="0">
    <w:p w:rsidR="00FD5275" w:rsidRDefault="00FD5275" w:rsidP="0094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D6" w:rsidRPr="009447D6" w:rsidRDefault="009447D6">
    <w:pPr>
      <w:pStyle w:val="Intestazione"/>
      <w:rPr>
        <w:color w:val="808080" w:themeColor="background1" w:themeShade="80"/>
      </w:rPr>
    </w:pPr>
    <w:r w:rsidRPr="009447D6">
      <w:rPr>
        <w:b/>
        <w:color w:val="808080" w:themeColor="background1" w:themeShade="80"/>
      </w:rPr>
      <w:t xml:space="preserve">I Tumori nella Asl Napoli </w:t>
    </w:r>
    <w:proofErr w:type="gramStart"/>
    <w:r w:rsidRPr="009447D6">
      <w:rPr>
        <w:b/>
        <w:color w:val="808080" w:themeColor="background1" w:themeShade="80"/>
      </w:rPr>
      <w:t>2</w:t>
    </w:r>
    <w:proofErr w:type="gramEnd"/>
    <w:r w:rsidRPr="009447D6">
      <w:rPr>
        <w:b/>
        <w:color w:val="808080" w:themeColor="background1" w:themeShade="80"/>
      </w:rPr>
      <w:t xml:space="preserve"> Nord</w:t>
    </w:r>
    <w:r w:rsidRPr="009447D6">
      <w:rPr>
        <w:color w:val="808080" w:themeColor="background1" w:themeShade="80"/>
      </w:rPr>
      <w:ptab w:relativeTo="margin" w:alignment="center" w:leader="none"/>
    </w:r>
    <w:r w:rsidRPr="009447D6">
      <w:rPr>
        <w:color w:val="808080" w:themeColor="background1" w:themeShade="80"/>
      </w:rPr>
      <w:ptab w:relativeTo="margin" w:alignment="right" w:leader="none"/>
    </w:r>
    <w:r w:rsidRPr="009447D6">
      <w:rPr>
        <w:color w:val="808080" w:themeColor="background1" w:themeShade="80"/>
      </w:rPr>
      <w:t xml:space="preserve">RAPPORTO </w:t>
    </w:r>
    <w:r w:rsidR="007A791E">
      <w:rPr>
        <w:color w:val="808080" w:themeColor="background1" w:themeShade="80"/>
      </w:rPr>
      <w:t>2018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7EA"/>
    <w:multiLevelType w:val="hybridMultilevel"/>
    <w:tmpl w:val="3D7E9D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C17"/>
    <w:multiLevelType w:val="hybridMultilevel"/>
    <w:tmpl w:val="BE705E28"/>
    <w:lvl w:ilvl="0" w:tplc="775A58E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A413B"/>
    <w:multiLevelType w:val="hybridMultilevel"/>
    <w:tmpl w:val="F3B2A9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1090C"/>
    <w:multiLevelType w:val="hybridMultilevel"/>
    <w:tmpl w:val="47BECC04"/>
    <w:lvl w:ilvl="0" w:tplc="D8664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48D"/>
    <w:rsid w:val="000B254F"/>
    <w:rsid w:val="001051E5"/>
    <w:rsid w:val="001242EB"/>
    <w:rsid w:val="001668A4"/>
    <w:rsid w:val="001E1FAE"/>
    <w:rsid w:val="002B56AC"/>
    <w:rsid w:val="002F0FEB"/>
    <w:rsid w:val="00355DE1"/>
    <w:rsid w:val="003744B1"/>
    <w:rsid w:val="003D1892"/>
    <w:rsid w:val="00441C25"/>
    <w:rsid w:val="004A2341"/>
    <w:rsid w:val="004A4522"/>
    <w:rsid w:val="004A4E4A"/>
    <w:rsid w:val="004B0008"/>
    <w:rsid w:val="004E2AC7"/>
    <w:rsid w:val="00516034"/>
    <w:rsid w:val="00532D3A"/>
    <w:rsid w:val="00535ED9"/>
    <w:rsid w:val="005770BA"/>
    <w:rsid w:val="005F556F"/>
    <w:rsid w:val="00647B66"/>
    <w:rsid w:val="00677B7F"/>
    <w:rsid w:val="006B4633"/>
    <w:rsid w:val="006F0613"/>
    <w:rsid w:val="0074670E"/>
    <w:rsid w:val="007549C9"/>
    <w:rsid w:val="007549FF"/>
    <w:rsid w:val="0077176F"/>
    <w:rsid w:val="007A791E"/>
    <w:rsid w:val="008120D5"/>
    <w:rsid w:val="00826192"/>
    <w:rsid w:val="008415A4"/>
    <w:rsid w:val="00870190"/>
    <w:rsid w:val="00884685"/>
    <w:rsid w:val="008B52C3"/>
    <w:rsid w:val="0090379F"/>
    <w:rsid w:val="00912911"/>
    <w:rsid w:val="009214DF"/>
    <w:rsid w:val="009447D6"/>
    <w:rsid w:val="009473F0"/>
    <w:rsid w:val="00975D58"/>
    <w:rsid w:val="009A49D3"/>
    <w:rsid w:val="009E5F35"/>
    <w:rsid w:val="00A7390F"/>
    <w:rsid w:val="00AC46C9"/>
    <w:rsid w:val="00B16AFB"/>
    <w:rsid w:val="00B2260B"/>
    <w:rsid w:val="00B94395"/>
    <w:rsid w:val="00BB2F8A"/>
    <w:rsid w:val="00C33AF7"/>
    <w:rsid w:val="00C66266"/>
    <w:rsid w:val="00CE3C86"/>
    <w:rsid w:val="00D3625D"/>
    <w:rsid w:val="00D771AC"/>
    <w:rsid w:val="00D912BF"/>
    <w:rsid w:val="00D9349D"/>
    <w:rsid w:val="00D95ABD"/>
    <w:rsid w:val="00DE3F1D"/>
    <w:rsid w:val="00DF0827"/>
    <w:rsid w:val="00EB648D"/>
    <w:rsid w:val="00EE6C39"/>
    <w:rsid w:val="00EE71C5"/>
    <w:rsid w:val="00F37927"/>
    <w:rsid w:val="00FC12CA"/>
    <w:rsid w:val="00FC1966"/>
    <w:rsid w:val="00FC5303"/>
    <w:rsid w:val="00FD527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82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47D6"/>
  </w:style>
  <w:style w:type="paragraph" w:styleId="Pidipagina">
    <w:name w:val="footer"/>
    <w:basedOn w:val="Normale"/>
    <w:link w:val="PidipaginaCarattere"/>
    <w:uiPriority w:val="99"/>
    <w:unhideWhenUsed/>
    <w:rsid w:val="0094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47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51E5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95AB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E5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7D6"/>
  </w:style>
  <w:style w:type="paragraph" w:styleId="Pidipagina">
    <w:name w:val="footer"/>
    <w:basedOn w:val="Normale"/>
    <w:link w:val="PidipaginaCarattere"/>
    <w:uiPriority w:val="99"/>
    <w:unhideWhenUsed/>
    <w:rsid w:val="0094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7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1E5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95AB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E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27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Percentuale</a:t>
            </a:r>
            <a:r>
              <a:rPr lang="en-US" sz="1600" baseline="0"/>
              <a:t> incidenza</a:t>
            </a:r>
          </a:p>
          <a:p>
            <a:pPr>
              <a:defRPr sz="1600"/>
            </a:pPr>
            <a:r>
              <a:rPr lang="en-US" sz="1600"/>
              <a:t> sul totale, maschi, periodo 2010-2013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Percentuale sul totale, maschi, periodo 2010-2014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13 %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it-IT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Foglio1!$A$2:$A$7</c:f>
              <c:strCache>
                <c:ptCount val="6"/>
                <c:pt idx="0">
                  <c:v>Polmone</c:v>
                </c:pt>
                <c:pt idx="1">
                  <c:v>Vescica</c:v>
                </c:pt>
                <c:pt idx="2">
                  <c:v>Prostata</c:v>
                </c:pt>
                <c:pt idx="3">
                  <c:v>Colon-Retto</c:v>
                </c:pt>
                <c:pt idx="4">
                  <c:v>Fegato</c:v>
                </c:pt>
                <c:pt idx="5">
                  <c:v>Stomaco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0.2</c:v>
                </c:pt>
                <c:pt idx="1">
                  <c:v>0.13</c:v>
                </c:pt>
                <c:pt idx="2" formatCode="0.00%">
                  <c:v>0.12</c:v>
                </c:pt>
                <c:pt idx="3" formatCode="0.00%">
                  <c:v>0.13</c:v>
                </c:pt>
                <c:pt idx="4" formatCode="0.00%">
                  <c:v>0.06</c:v>
                </c:pt>
                <c:pt idx="5" formatCode="0.00%">
                  <c:v>0.05</c:v>
                </c:pt>
              </c:numCache>
            </c:numRef>
          </c:val>
        </c:ser>
        <c:dLbls/>
        <c:axId val="301178264"/>
        <c:axId val="81242568"/>
      </c:barChart>
      <c:catAx>
        <c:axId val="301178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81242568"/>
        <c:crosses val="autoZero"/>
        <c:auto val="1"/>
        <c:lblAlgn val="ctr"/>
        <c:lblOffset val="100"/>
      </c:catAx>
      <c:valAx>
        <c:axId val="8124256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3011782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28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Percentuale indicenza sul totale, femmine, periodo 2010-2013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Percentuale indicenza sul totale, femmine, periodo 2010-2014</c:v>
                </c:pt>
              </c:strCache>
            </c:strRef>
          </c:tx>
          <c:dLbls>
            <c:dLbl>
              <c:idx val="0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Foglio1!$A$2:$A$7</c:f>
              <c:strCache>
                <c:ptCount val="6"/>
                <c:pt idx="0">
                  <c:v>Mammella</c:v>
                </c:pt>
                <c:pt idx="1">
                  <c:v>Colon-Retto</c:v>
                </c:pt>
                <c:pt idx="2">
                  <c:v>Polmone</c:v>
                </c:pt>
                <c:pt idx="3">
                  <c:v>Tiroide</c:v>
                </c:pt>
                <c:pt idx="4">
                  <c:v>Fegato</c:v>
                </c:pt>
                <c:pt idx="5">
                  <c:v>Utero,Corpo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0.29</c:v>
                </c:pt>
                <c:pt idx="1">
                  <c:v>0.11</c:v>
                </c:pt>
                <c:pt idx="2">
                  <c:v>0.08</c:v>
                </c:pt>
                <c:pt idx="3">
                  <c:v>0.06</c:v>
                </c:pt>
                <c:pt idx="4">
                  <c:v>0.04</c:v>
                </c:pt>
                <c:pt idx="5">
                  <c:v>0.03</c:v>
                </c:pt>
              </c:numCache>
            </c:numRef>
          </c:val>
        </c:ser>
        <c:dLbls/>
        <c:axId val="625884168"/>
        <c:axId val="625457048"/>
      </c:barChart>
      <c:catAx>
        <c:axId val="6258841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625457048"/>
        <c:crosses val="autoZero"/>
        <c:auto val="1"/>
        <c:lblAlgn val="ctr"/>
        <c:lblOffset val="100"/>
      </c:catAx>
      <c:valAx>
        <c:axId val="6254570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6258841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40"/>
  <c:chart>
    <c:title>
      <c:layout/>
      <c:txPr>
        <a:bodyPr/>
        <a:lstStyle/>
        <a:p>
          <a:pPr>
            <a:defRPr sz="1600"/>
          </a:pPr>
          <a:endParaRPr lang="it-IT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Percentuale sul totale deceduti oncologici, maschi, 2010-2013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it-IT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Foglio1!$A$2:$A$6</c:f>
              <c:strCache>
                <c:ptCount val="5"/>
                <c:pt idx="0">
                  <c:v>Polmone</c:v>
                </c:pt>
                <c:pt idx="1">
                  <c:v>Fegato</c:v>
                </c:pt>
                <c:pt idx="2">
                  <c:v>Colon-Retto</c:v>
                </c:pt>
                <c:pt idx="3">
                  <c:v>Vescica</c:v>
                </c:pt>
                <c:pt idx="4">
                  <c:v>Prostata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0.3194</c:v>
                </c:pt>
                <c:pt idx="1">
                  <c:v>0.0992</c:v>
                </c:pt>
                <c:pt idx="2">
                  <c:v>0.0865</c:v>
                </c:pt>
                <c:pt idx="3">
                  <c:v>0.0711</c:v>
                </c:pt>
                <c:pt idx="4">
                  <c:v>0.0604</c:v>
                </c:pt>
              </c:numCache>
            </c:numRef>
          </c:val>
        </c:ser>
        <c:dLbls/>
        <c:axId val="379650104"/>
        <c:axId val="532560200"/>
      </c:barChart>
      <c:catAx>
        <c:axId val="379650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532560200"/>
        <c:crosses val="autoZero"/>
        <c:auto val="1"/>
        <c:lblAlgn val="ctr"/>
        <c:lblOffset val="100"/>
      </c:catAx>
      <c:valAx>
        <c:axId val="53256020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3796501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38"/>
  <c:chart>
    <c:title>
      <c:layout/>
      <c:txPr>
        <a:bodyPr/>
        <a:lstStyle/>
        <a:p>
          <a:pPr>
            <a:defRPr sz="1600"/>
          </a:pPr>
          <a:endParaRPr lang="it-IT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Percentuale sul totale deceduti oncologici, femmine, 2010-2013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it-IT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Foglio1!$A$2:$A$6</c:f>
              <c:strCache>
                <c:ptCount val="5"/>
                <c:pt idx="0">
                  <c:v>Mammella</c:v>
                </c:pt>
                <c:pt idx="1">
                  <c:v>Polmone</c:v>
                </c:pt>
                <c:pt idx="2">
                  <c:v>Colon-Retto</c:v>
                </c:pt>
                <c:pt idx="3">
                  <c:v>Fegato</c:v>
                </c:pt>
                <c:pt idx="4">
                  <c:v>Stomaco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0.1694</c:v>
                </c:pt>
                <c:pt idx="1">
                  <c:v>0.1301</c:v>
                </c:pt>
                <c:pt idx="2">
                  <c:v>0.1064</c:v>
                </c:pt>
                <c:pt idx="3">
                  <c:v>0.0895</c:v>
                </c:pt>
                <c:pt idx="4">
                  <c:v>0.0627</c:v>
                </c:pt>
              </c:numCache>
            </c:numRef>
          </c:val>
        </c:ser>
        <c:dLbls/>
        <c:axId val="301150696"/>
        <c:axId val="301809752"/>
      </c:barChart>
      <c:catAx>
        <c:axId val="3011506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solidFill>
                  <a:schemeClr val="tx1">
                    <a:lumMod val="95000"/>
                    <a:lumOff val="5000"/>
                  </a:schemeClr>
                </a:solidFill>
              </a:defRPr>
            </a:pPr>
            <a:endParaRPr lang="it-IT"/>
          </a:p>
        </c:txPr>
        <c:crossAx val="301809752"/>
        <c:crosses val="autoZero"/>
        <c:auto val="1"/>
        <c:lblAlgn val="ctr"/>
        <c:lblOffset val="100"/>
      </c:catAx>
      <c:valAx>
        <c:axId val="30180975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b="1"/>
            </a:pPr>
            <a:endParaRPr lang="it-IT"/>
          </a:p>
        </c:txPr>
        <c:crossAx val="3011506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2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Qualità dei dati 2010-2013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84,14 %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13,42 %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2,44 %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cito-istologica</c:v>
                </c:pt>
                <c:pt idx="1">
                  <c:v>clinico-strumentale</c:v>
                </c:pt>
                <c:pt idx="2">
                  <c:v>DCO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84.14</c:v>
                </c:pt>
                <c:pt idx="1">
                  <c:v>13.42</c:v>
                </c:pt>
                <c:pt idx="2">
                  <c:v>2.44</c:v>
                </c:pt>
              </c:numCache>
            </c:numRef>
          </c:val>
        </c:ser>
        <c:dLbls/>
      </c:pie3DChart>
    </c:plotArea>
    <c:legend>
      <c:legendPos val="r"/>
      <c:layout/>
      <c:txPr>
        <a:bodyPr/>
        <a:lstStyle/>
        <a:p>
          <a:pPr>
            <a:defRPr b="1"/>
          </a:pPr>
          <a:endParaRPr lang="it-IT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D606-FF18-4D4C-90DC-9834CAEC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registrotumori</dc:creator>
  <cp:lastModifiedBy>***</cp:lastModifiedBy>
  <cp:revision>4</cp:revision>
  <dcterms:created xsi:type="dcterms:W3CDTF">2018-09-13T08:36:00Z</dcterms:created>
  <dcterms:modified xsi:type="dcterms:W3CDTF">2018-09-17T14:50:00Z</dcterms:modified>
</cp:coreProperties>
</file>