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BA97" w14:textId="79F9A896" w:rsidR="003378C9" w:rsidRPr="00777626" w:rsidRDefault="003378C9" w:rsidP="00777626">
      <w:pPr>
        <w:widowControl w:val="0"/>
        <w:spacing w:after="0" w:line="240" w:lineRule="auto"/>
        <w:ind w:left="564"/>
        <w:jc w:val="both"/>
        <w:rPr>
          <w:rFonts w:cstheme="minorHAnsi"/>
        </w:rPr>
      </w:pPr>
      <w:r w:rsidRPr="00777626">
        <w:rPr>
          <w:rFonts w:cstheme="minorHAnsi"/>
          <w:i/>
          <w:noProof/>
        </w:rPr>
        <mc:AlternateContent>
          <mc:Choice Requires="wps">
            <w:drawing>
              <wp:anchor distT="0" distB="0" distL="114300" distR="114300" simplePos="0" relativeHeight="251659264" behindDoc="1" locked="0" layoutInCell="1" allowOverlap="1" wp14:anchorId="0D242AA3" wp14:editId="04BB0332">
                <wp:simplePos x="0" y="0"/>
                <wp:positionH relativeFrom="column">
                  <wp:posOffset>-66040</wp:posOffset>
                </wp:positionH>
                <wp:positionV relativeFrom="paragraph">
                  <wp:posOffset>-307340</wp:posOffset>
                </wp:positionV>
                <wp:extent cx="1930400" cy="285750"/>
                <wp:effectExtent l="0" t="0" r="1270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285750"/>
                        </a:xfrm>
                        <a:prstGeom prst="rect">
                          <a:avLst/>
                        </a:prstGeom>
                        <a:solidFill>
                          <a:srgbClr val="FFFFFF"/>
                        </a:solidFill>
                        <a:ln w="3175">
                          <a:solidFill>
                            <a:srgbClr val="808080"/>
                          </a:solidFill>
                          <a:miter lim="800000"/>
                          <a:headEnd/>
                          <a:tailEnd/>
                        </a:ln>
                      </wps:spPr>
                      <wps:txbx>
                        <w:txbxContent>
                          <w:p w14:paraId="6EA1042D" w14:textId="77777777" w:rsidR="003378C9" w:rsidRPr="009E1683" w:rsidRDefault="003378C9" w:rsidP="003378C9">
                            <w:pPr>
                              <w:rPr>
                                <w:rFonts w:ascii="Calibri" w:hAnsi="Calibri"/>
                                <w:i/>
                                <w:color w:val="5F5F5F"/>
                                <w:sz w:val="20"/>
                                <w:szCs w:val="20"/>
                              </w:rPr>
                            </w:pPr>
                            <w:r>
                              <w:rPr>
                                <w:rFonts w:ascii="Calibri" w:hAnsi="Calibri"/>
                                <w:i/>
                                <w:color w:val="5F5F5F"/>
                                <w:sz w:val="20"/>
                                <w:szCs w:val="20"/>
                              </w:rPr>
                              <w:t>LEG/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42AA3" id="_x0000_t202" coordsize="21600,21600" o:spt="202" path="m,l,21600r21600,l21600,xe">
                <v:stroke joinstyle="miter"/>
                <v:path gradientshapeok="t" o:connecttype="rect"/>
              </v:shapetype>
              <v:shape id="Casella di testo 2" o:spid="_x0000_s1026" type="#_x0000_t202" style="position:absolute;left:0;text-align:left;margin-left:-5.2pt;margin-top:-24.2pt;width:152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" strokecolor="gray" strokeweight=".25pt">
                <v:textbox>
                  <w:txbxContent>
                    <w:p w14:paraId="6EA1042D" w14:textId="77777777" w:rsidR="003378C9" w:rsidRPr="009E1683" w:rsidRDefault="003378C9" w:rsidP="003378C9">
                      <w:pPr>
                        <w:rPr>
                          <w:rFonts w:ascii="Calibri" w:hAnsi="Calibri"/>
                          <w:i/>
                          <w:color w:val="5F5F5F"/>
                          <w:sz w:val="20"/>
                          <w:szCs w:val="20"/>
                        </w:rPr>
                      </w:pPr>
                      <w:r>
                        <w:rPr>
                          <w:rFonts w:ascii="Calibri" w:hAnsi="Calibri"/>
                          <w:i/>
                          <w:color w:val="5F5F5F"/>
                          <w:sz w:val="20"/>
                          <w:szCs w:val="20"/>
                        </w:rPr>
                        <w:t>LEG/</w:t>
                      </w:r>
                    </w:p>
                  </w:txbxContent>
                </v:textbox>
              </v:shape>
            </w:pict>
          </mc:Fallback>
        </mc:AlternateContent>
      </w:r>
      <w:r w:rsidRPr="00777626">
        <w:rPr>
          <w:rFonts w:cstheme="minorHAnsi"/>
        </w:rPr>
        <w:tab/>
      </w:r>
      <w:r w:rsidRPr="00777626">
        <w:rPr>
          <w:rFonts w:cstheme="minorHAnsi"/>
        </w:rPr>
        <w:tab/>
      </w:r>
      <w:r w:rsidRPr="00777626">
        <w:rPr>
          <w:rFonts w:cstheme="minorHAnsi"/>
        </w:rPr>
        <w:tab/>
      </w:r>
      <w:r w:rsidRPr="00777626">
        <w:rPr>
          <w:rFonts w:cstheme="minorHAnsi"/>
        </w:rPr>
        <w:tab/>
      </w:r>
      <w:r w:rsidRPr="00777626">
        <w:rPr>
          <w:rFonts w:cstheme="minorHAnsi"/>
        </w:rPr>
        <w:tab/>
      </w:r>
      <w:r w:rsidRPr="00777626">
        <w:rPr>
          <w:rFonts w:cstheme="minorHAnsi"/>
        </w:rPr>
        <w:tab/>
      </w:r>
      <w:r w:rsidRPr="00777626">
        <w:rPr>
          <w:rFonts w:cstheme="minorHAnsi"/>
        </w:rPr>
        <w:tab/>
      </w:r>
      <w:r w:rsidRPr="00777626">
        <w:rPr>
          <w:rFonts w:cstheme="minorHAnsi"/>
        </w:rPr>
        <w:tab/>
      </w:r>
      <w:r w:rsidRPr="00777626">
        <w:rPr>
          <w:rFonts w:cstheme="minorHAnsi"/>
        </w:rPr>
        <w:tab/>
      </w:r>
      <w:r w:rsidRPr="00777626">
        <w:rPr>
          <w:rFonts w:cstheme="minorHAnsi"/>
        </w:rPr>
        <w:tab/>
      </w:r>
      <w:r w:rsidRPr="00777626">
        <w:rPr>
          <w:rFonts w:cstheme="minorHAnsi"/>
        </w:rPr>
        <w:tab/>
        <w:t xml:space="preserve">Roma </w:t>
      </w:r>
    </w:p>
    <w:p w14:paraId="54B6DFCE" w14:textId="77777777" w:rsidR="003378C9" w:rsidRPr="00777626" w:rsidRDefault="003378C9" w:rsidP="00777626">
      <w:pPr>
        <w:widowControl w:val="0"/>
        <w:spacing w:after="0" w:line="240" w:lineRule="auto"/>
        <w:ind w:left="714" w:hanging="564"/>
        <w:jc w:val="center"/>
        <w:rPr>
          <w:rFonts w:cstheme="minorHAnsi"/>
          <w:b/>
        </w:rPr>
      </w:pPr>
      <w:r w:rsidRPr="00777626">
        <w:rPr>
          <w:rFonts w:cstheme="minorHAnsi"/>
          <w:noProof/>
        </w:rPr>
        <w:drawing>
          <wp:inline distT="0" distB="0" distL="0" distR="0" wp14:anchorId="5E4E907E" wp14:editId="070A1D39">
            <wp:extent cx="2323692" cy="1017270"/>
            <wp:effectExtent l="0" t="0" r="63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5614" cy="1022489"/>
                    </a:xfrm>
                    <a:prstGeom prst="rect">
                      <a:avLst/>
                    </a:prstGeom>
                    <a:noFill/>
                    <a:ln>
                      <a:noFill/>
                    </a:ln>
                  </pic:spPr>
                </pic:pic>
              </a:graphicData>
            </a:graphic>
          </wp:inline>
        </w:drawing>
      </w:r>
    </w:p>
    <w:p w14:paraId="23BA996E" w14:textId="45E52FCA" w:rsidR="001B4D17" w:rsidRPr="00777626" w:rsidRDefault="001B4D17" w:rsidP="00777626">
      <w:pPr>
        <w:spacing w:after="0" w:line="240" w:lineRule="auto"/>
        <w:ind w:left="993" w:hanging="993"/>
        <w:jc w:val="center"/>
        <w:rPr>
          <w:rFonts w:cstheme="minorHAnsi"/>
          <w:b/>
        </w:rPr>
      </w:pPr>
    </w:p>
    <w:p w14:paraId="1366FF78" w14:textId="1865EF7A" w:rsidR="000943ED" w:rsidRPr="00777626" w:rsidRDefault="003378C9" w:rsidP="00777626">
      <w:pPr>
        <w:pStyle w:val="NormaleWeb"/>
        <w:spacing w:before="0" w:beforeAutospacing="0" w:after="0" w:afterAutospacing="0"/>
        <w:ind w:right="-1"/>
        <w:jc w:val="both"/>
        <w:rPr>
          <w:rFonts w:asciiTheme="minorHAnsi" w:hAnsiTheme="minorHAnsi" w:cstheme="minorHAnsi"/>
          <w:b/>
          <w:bCs/>
          <w:color w:val="000000"/>
          <w:sz w:val="22"/>
          <w:szCs w:val="22"/>
          <w:lang w:val="it-IT"/>
        </w:rPr>
      </w:pPr>
      <w:r w:rsidRPr="00777626">
        <w:rPr>
          <w:rFonts w:asciiTheme="minorHAnsi" w:hAnsiTheme="minorHAnsi" w:cstheme="minorHAnsi"/>
          <w:b/>
          <w:bCs/>
          <w:color w:val="000000"/>
          <w:sz w:val="22"/>
          <w:szCs w:val="22"/>
          <w:lang w:val="it-IT"/>
        </w:rPr>
        <w:t xml:space="preserve">Adeguamento della normativa nazionale alle disposizioni del regolamento </w:t>
      </w:r>
      <w:r w:rsidR="007112EF" w:rsidRPr="00777626">
        <w:rPr>
          <w:rFonts w:asciiTheme="minorHAnsi" w:hAnsiTheme="minorHAnsi" w:cstheme="minorHAnsi"/>
          <w:b/>
          <w:sz w:val="22"/>
          <w:szCs w:val="22"/>
          <w:lang w:val="it-IT"/>
        </w:rPr>
        <w:t>delegato (UE) 2016/161 della Commissione, del 2 ottobre 201</w:t>
      </w:r>
      <w:r w:rsidRPr="00777626">
        <w:rPr>
          <w:rFonts w:asciiTheme="minorHAnsi" w:hAnsiTheme="minorHAnsi" w:cstheme="minorHAnsi"/>
          <w:b/>
          <w:sz w:val="22"/>
          <w:szCs w:val="22"/>
          <w:lang w:val="it-IT"/>
        </w:rPr>
        <w:t>5</w:t>
      </w:r>
      <w:r w:rsidRPr="00777626">
        <w:rPr>
          <w:rFonts w:asciiTheme="minorHAnsi" w:hAnsiTheme="minorHAnsi" w:cstheme="minorHAnsi"/>
          <w:b/>
          <w:bCs/>
          <w:color w:val="000000"/>
          <w:sz w:val="22"/>
          <w:szCs w:val="22"/>
          <w:lang w:val="it-IT"/>
        </w:rPr>
        <w:t>, che integra la direttiva 2001/83/CE del Parlamento europeo e del Consiglio stabilendo norme dettagliate sulle caratteristiche di sicurezza che figurano sull'imballaggio dei medicinali per uso umano</w:t>
      </w:r>
    </w:p>
    <w:p w14:paraId="67D4C314" w14:textId="77777777" w:rsidR="001B4D17" w:rsidRPr="00777626" w:rsidRDefault="001B4D17" w:rsidP="00777626">
      <w:pPr>
        <w:pStyle w:val="NormaleWeb"/>
        <w:spacing w:before="0" w:beforeAutospacing="0" w:after="0" w:afterAutospacing="0"/>
        <w:ind w:right="-1"/>
        <w:jc w:val="both"/>
        <w:rPr>
          <w:rFonts w:asciiTheme="minorHAnsi" w:hAnsiTheme="minorHAnsi" w:cstheme="minorHAnsi"/>
          <w:b/>
          <w:bCs/>
          <w:color w:val="000000"/>
          <w:sz w:val="22"/>
          <w:szCs w:val="22"/>
          <w:lang w:val="it-IT"/>
        </w:rPr>
      </w:pPr>
    </w:p>
    <w:p w14:paraId="21EFC3A6" w14:textId="77777777" w:rsidR="001B4D17" w:rsidRPr="00777626" w:rsidRDefault="001B4D17" w:rsidP="00777626">
      <w:pPr>
        <w:pStyle w:val="NormaleWeb"/>
        <w:spacing w:before="0" w:beforeAutospacing="0" w:after="0" w:afterAutospacing="0"/>
        <w:ind w:right="-1"/>
        <w:jc w:val="both"/>
        <w:rPr>
          <w:rFonts w:asciiTheme="minorHAnsi" w:hAnsiTheme="minorHAnsi" w:cstheme="minorHAnsi"/>
          <w:b/>
          <w:bCs/>
          <w:color w:val="000000"/>
          <w:sz w:val="22"/>
          <w:szCs w:val="22"/>
          <w:lang w:val="it-IT"/>
        </w:rPr>
      </w:pPr>
    </w:p>
    <w:p w14:paraId="46381884" w14:textId="7A19399D" w:rsidR="00C77328" w:rsidRPr="00777626" w:rsidRDefault="001B4D17" w:rsidP="00777626">
      <w:pPr>
        <w:pStyle w:val="Paragrafoelenco"/>
        <w:numPr>
          <w:ilvl w:val="0"/>
          <w:numId w:val="19"/>
        </w:numPr>
        <w:spacing w:before="120" w:after="120" w:line="240" w:lineRule="auto"/>
        <w:ind w:left="714" w:hanging="357"/>
        <w:contextualSpacing w:val="0"/>
        <w:jc w:val="both"/>
        <w:rPr>
          <w:rFonts w:cstheme="minorHAnsi"/>
          <w:b/>
          <w:color w:val="000000"/>
        </w:rPr>
      </w:pPr>
      <w:r w:rsidRPr="00777626">
        <w:rPr>
          <w:rFonts w:cstheme="minorHAnsi"/>
          <w:b/>
          <w:color w:val="000000"/>
        </w:rPr>
        <w:t>INTRODUZIONE</w:t>
      </w:r>
    </w:p>
    <w:p w14:paraId="59FB56E4" w14:textId="1442C81C" w:rsidR="00C77328" w:rsidRDefault="005D25F1" w:rsidP="001A5773">
      <w:pPr>
        <w:spacing w:after="0" w:line="240" w:lineRule="auto"/>
        <w:jc w:val="both"/>
        <w:rPr>
          <w:rFonts w:cstheme="minorHAnsi"/>
          <w:bCs/>
          <w:color w:val="000000"/>
        </w:rPr>
      </w:pPr>
      <w:r>
        <w:rPr>
          <w:rFonts w:cstheme="minorHAnsi"/>
          <w:bCs/>
          <w:color w:val="000000"/>
        </w:rPr>
        <w:t>L</w:t>
      </w:r>
      <w:r w:rsidR="00C77328" w:rsidRPr="00777626">
        <w:rPr>
          <w:rFonts w:cstheme="minorHAnsi"/>
          <w:bCs/>
          <w:color w:val="000000"/>
        </w:rPr>
        <w:t xml:space="preserve">a direttiva 2011/62/UE (Falsified Medicine Directive </w:t>
      </w:r>
      <w:r>
        <w:rPr>
          <w:rFonts w:cstheme="minorHAnsi"/>
          <w:bCs/>
          <w:color w:val="000000"/>
        </w:rPr>
        <w:t>“</w:t>
      </w:r>
      <w:r w:rsidR="001A5773" w:rsidRPr="00777626">
        <w:rPr>
          <w:rFonts w:cstheme="minorHAnsi"/>
          <w:b/>
          <w:i/>
          <w:iCs/>
          <w:color w:val="000000"/>
        </w:rPr>
        <w:t>FMD</w:t>
      </w:r>
      <w:r>
        <w:rPr>
          <w:rFonts w:cstheme="minorHAnsi"/>
          <w:bCs/>
          <w:color w:val="000000"/>
        </w:rPr>
        <w:t>”</w:t>
      </w:r>
      <w:r w:rsidR="00C77328" w:rsidRPr="00777626">
        <w:rPr>
          <w:rFonts w:cstheme="minorHAnsi"/>
          <w:bCs/>
          <w:color w:val="000000"/>
        </w:rPr>
        <w:t>)</w:t>
      </w:r>
      <w:r>
        <w:rPr>
          <w:rStyle w:val="Rimandonotaapidipagina"/>
          <w:rFonts w:cstheme="minorHAnsi"/>
          <w:bCs/>
          <w:color w:val="000000"/>
        </w:rPr>
        <w:footnoteReference w:id="1"/>
      </w:r>
      <w:r>
        <w:rPr>
          <w:rFonts w:cstheme="minorHAnsi"/>
          <w:bCs/>
          <w:color w:val="000000"/>
        </w:rPr>
        <w:t xml:space="preserve"> e il </w:t>
      </w:r>
      <w:r w:rsidRPr="0061596A">
        <w:rPr>
          <w:rFonts w:cstheme="minorHAnsi"/>
          <w:bCs/>
          <w:color w:val="000000"/>
        </w:rPr>
        <w:t>regolamento delegato 2016/161</w:t>
      </w:r>
      <w:r>
        <w:rPr>
          <w:rFonts w:cstheme="minorHAnsi"/>
          <w:bCs/>
          <w:color w:val="000000"/>
        </w:rPr>
        <w:t xml:space="preserve"> della Commissione </w:t>
      </w:r>
      <w:r w:rsidRPr="004D0EA2">
        <w:rPr>
          <w:rFonts w:cstheme="minorHAnsi"/>
          <w:bCs/>
          <w:color w:val="000000"/>
        </w:rPr>
        <w:t>(“</w:t>
      </w:r>
      <w:r w:rsidRPr="004D0EA2">
        <w:rPr>
          <w:rFonts w:cstheme="minorHAnsi"/>
          <w:b/>
          <w:color w:val="000000"/>
        </w:rPr>
        <w:t>Regolamento”</w:t>
      </w:r>
      <w:r w:rsidRPr="004D0EA2">
        <w:rPr>
          <w:rFonts w:cstheme="minorHAnsi"/>
          <w:bCs/>
          <w:color w:val="000000"/>
        </w:rPr>
        <w:t>)</w:t>
      </w:r>
      <w:r>
        <w:rPr>
          <w:rFonts w:cstheme="minorHAnsi"/>
          <w:bCs/>
          <w:color w:val="000000"/>
        </w:rPr>
        <w:t xml:space="preserve">, di attuazione delle previsioni recate dalla FMD, </w:t>
      </w:r>
      <w:r w:rsidR="00C77328" w:rsidRPr="00777626">
        <w:rPr>
          <w:rFonts w:cstheme="minorHAnsi"/>
          <w:bCs/>
          <w:color w:val="000000"/>
        </w:rPr>
        <w:t>ha</w:t>
      </w:r>
      <w:r>
        <w:rPr>
          <w:rFonts w:cstheme="minorHAnsi"/>
          <w:bCs/>
          <w:color w:val="000000"/>
        </w:rPr>
        <w:t>nno</w:t>
      </w:r>
      <w:r w:rsidR="00C77328" w:rsidRPr="00777626">
        <w:rPr>
          <w:rFonts w:cstheme="minorHAnsi"/>
          <w:bCs/>
          <w:color w:val="000000"/>
        </w:rPr>
        <w:t xml:space="preserve"> </w:t>
      </w:r>
      <w:r>
        <w:rPr>
          <w:rFonts w:cstheme="minorHAnsi"/>
          <w:bCs/>
          <w:color w:val="000000"/>
        </w:rPr>
        <w:t xml:space="preserve">lo scopo prevenire la contraffazione nel settore farmaceutico, attraverso l’introduzione di misure armonizzate </w:t>
      </w:r>
      <w:r w:rsidR="00C77328" w:rsidRPr="00777626">
        <w:rPr>
          <w:rFonts w:cstheme="minorHAnsi"/>
          <w:bCs/>
          <w:color w:val="000000"/>
        </w:rPr>
        <w:t xml:space="preserve">di sicurezza, identificazione end-to-end e tracciabilità </w:t>
      </w:r>
      <w:r>
        <w:rPr>
          <w:rFonts w:cstheme="minorHAnsi"/>
          <w:bCs/>
          <w:color w:val="000000"/>
        </w:rPr>
        <w:t>delle</w:t>
      </w:r>
      <w:r w:rsidR="00C77328" w:rsidRPr="00777626">
        <w:rPr>
          <w:rFonts w:cstheme="minorHAnsi"/>
          <w:bCs/>
          <w:color w:val="000000"/>
        </w:rPr>
        <w:t xml:space="preserve"> confezion</w:t>
      </w:r>
      <w:r w:rsidR="003B0BFC">
        <w:rPr>
          <w:rFonts w:cstheme="minorHAnsi"/>
          <w:bCs/>
          <w:color w:val="000000"/>
        </w:rPr>
        <w:t>i</w:t>
      </w:r>
      <w:r w:rsidR="00C77328" w:rsidRPr="00777626">
        <w:rPr>
          <w:rFonts w:cstheme="minorHAnsi"/>
          <w:bCs/>
          <w:color w:val="000000"/>
        </w:rPr>
        <w:t xml:space="preserve"> di medicinali. I</w:t>
      </w:r>
      <w:r>
        <w:rPr>
          <w:rFonts w:cstheme="minorHAnsi"/>
          <w:bCs/>
          <w:color w:val="000000"/>
        </w:rPr>
        <w:t>n particolare, il Regolamento</w:t>
      </w:r>
      <w:r w:rsidR="00C77328" w:rsidRPr="00777626">
        <w:rPr>
          <w:rFonts w:cstheme="minorHAnsi"/>
          <w:bCs/>
          <w:color w:val="000000"/>
        </w:rPr>
        <w:t xml:space="preserve"> ha disciplinato: </w:t>
      </w:r>
    </w:p>
    <w:p w14:paraId="1B580626" w14:textId="77777777" w:rsidR="001A5773" w:rsidRPr="00777626" w:rsidRDefault="001A5773" w:rsidP="00777626">
      <w:pPr>
        <w:spacing w:after="0" w:line="240" w:lineRule="auto"/>
        <w:jc w:val="both"/>
        <w:rPr>
          <w:rFonts w:cstheme="minorHAnsi"/>
          <w:bCs/>
          <w:color w:val="000000"/>
        </w:rPr>
      </w:pPr>
    </w:p>
    <w:p w14:paraId="7FB5CCD9" w14:textId="2D7F77DC" w:rsidR="003E3CD5" w:rsidRDefault="00C77328" w:rsidP="00120F11">
      <w:pPr>
        <w:pStyle w:val="Paragrafoelenco"/>
        <w:numPr>
          <w:ilvl w:val="0"/>
          <w:numId w:val="20"/>
        </w:numPr>
        <w:spacing w:after="0" w:line="240" w:lineRule="auto"/>
        <w:contextualSpacing w:val="0"/>
        <w:jc w:val="both"/>
        <w:rPr>
          <w:rFonts w:cstheme="minorHAnsi"/>
          <w:bCs/>
          <w:color w:val="000000"/>
        </w:rPr>
      </w:pPr>
      <w:r w:rsidRPr="00777626">
        <w:rPr>
          <w:rFonts w:cstheme="minorHAnsi"/>
          <w:bCs/>
          <w:color w:val="000000"/>
        </w:rPr>
        <w:t>le caratteristiche</w:t>
      </w:r>
      <w:r w:rsidR="00120F11">
        <w:rPr>
          <w:rFonts w:cstheme="minorHAnsi"/>
          <w:bCs/>
          <w:color w:val="000000"/>
        </w:rPr>
        <w:t xml:space="preserve"> e specifiche tecniche</w:t>
      </w:r>
      <w:r w:rsidRPr="00777626">
        <w:rPr>
          <w:rFonts w:cstheme="minorHAnsi"/>
          <w:bCs/>
          <w:color w:val="000000"/>
        </w:rPr>
        <w:t xml:space="preserve"> </w:t>
      </w:r>
      <w:r w:rsidR="005D25F1">
        <w:rPr>
          <w:rFonts w:cstheme="minorHAnsi"/>
          <w:bCs/>
          <w:color w:val="000000"/>
        </w:rPr>
        <w:t xml:space="preserve">delle misure </w:t>
      </w:r>
      <w:r w:rsidRPr="00777626">
        <w:rPr>
          <w:rFonts w:cstheme="minorHAnsi"/>
          <w:bCs/>
          <w:color w:val="000000"/>
        </w:rPr>
        <w:t xml:space="preserve">per la verifica di autenticità </w:t>
      </w:r>
      <w:r w:rsidR="00120F11">
        <w:rPr>
          <w:rFonts w:cstheme="minorHAnsi"/>
          <w:bCs/>
          <w:color w:val="000000"/>
        </w:rPr>
        <w:t xml:space="preserve">ed identificazione </w:t>
      </w:r>
      <w:r w:rsidRPr="00777626">
        <w:rPr>
          <w:rFonts w:cstheme="minorHAnsi"/>
          <w:bCs/>
          <w:color w:val="000000"/>
        </w:rPr>
        <w:t>dei farmaci, ossia</w:t>
      </w:r>
      <w:r w:rsidRPr="00777626" w:rsidDel="00C77328">
        <w:rPr>
          <w:rFonts w:cstheme="minorHAnsi"/>
          <w:bCs/>
          <w:color w:val="000000"/>
        </w:rPr>
        <w:t xml:space="preserve"> </w:t>
      </w:r>
      <w:r w:rsidR="00120F11">
        <w:rPr>
          <w:rFonts w:cstheme="minorHAnsi"/>
          <w:bCs/>
          <w:color w:val="000000"/>
        </w:rPr>
        <w:t xml:space="preserve">del c.d. </w:t>
      </w:r>
      <w:r w:rsidRPr="00777626">
        <w:rPr>
          <w:rFonts w:cstheme="minorHAnsi"/>
          <w:bCs/>
          <w:color w:val="000000"/>
        </w:rPr>
        <w:t>identificativo univoco</w:t>
      </w:r>
      <w:r w:rsidRPr="00777626">
        <w:rPr>
          <w:rStyle w:val="Rimandonotaapidipagina"/>
          <w:rFonts w:cstheme="minorHAnsi"/>
          <w:bCs/>
          <w:color w:val="000000"/>
        </w:rPr>
        <w:footnoteReference w:id="2"/>
      </w:r>
      <w:r w:rsidR="00D96090" w:rsidRPr="00777626">
        <w:rPr>
          <w:rFonts w:cstheme="minorHAnsi"/>
          <w:bCs/>
          <w:color w:val="000000"/>
        </w:rPr>
        <w:t xml:space="preserve">, che si applica a tutti i medicinali soggetti a prescrizione, ad eccezione </w:t>
      </w:r>
      <w:r w:rsidR="00120F11">
        <w:rPr>
          <w:rFonts w:cstheme="minorHAnsi"/>
          <w:bCs/>
          <w:color w:val="000000"/>
        </w:rPr>
        <w:t>di quelli identificati all’allegato I del Regolamento</w:t>
      </w:r>
      <w:r w:rsidR="00120F11">
        <w:rPr>
          <w:rStyle w:val="Rimandonotaapidipagina"/>
          <w:rFonts w:cstheme="minorHAnsi"/>
          <w:bCs/>
          <w:color w:val="000000"/>
        </w:rPr>
        <w:footnoteReference w:id="3"/>
      </w:r>
      <w:r w:rsidR="00D96090" w:rsidRPr="00777626">
        <w:rPr>
          <w:rFonts w:cstheme="minorHAnsi"/>
          <w:bCs/>
          <w:color w:val="000000"/>
        </w:rPr>
        <w:t xml:space="preserve">, </w:t>
      </w:r>
      <w:r w:rsidR="00120F11">
        <w:rPr>
          <w:rFonts w:cstheme="minorHAnsi"/>
          <w:bCs/>
          <w:color w:val="000000"/>
        </w:rPr>
        <w:t>nonché</w:t>
      </w:r>
      <w:r w:rsidR="00D96090" w:rsidRPr="00777626">
        <w:rPr>
          <w:rFonts w:cstheme="minorHAnsi"/>
          <w:bCs/>
          <w:color w:val="000000"/>
        </w:rPr>
        <w:t xml:space="preserve"> ad alcuni medicinali non soggetti a prescrizione (</w:t>
      </w:r>
      <w:r w:rsidR="00120F11">
        <w:rPr>
          <w:rFonts w:cstheme="minorHAnsi"/>
          <w:bCs/>
          <w:color w:val="000000"/>
        </w:rPr>
        <w:t xml:space="preserve">attualmente </w:t>
      </w:r>
      <w:r w:rsidR="00D96090" w:rsidRPr="00777626">
        <w:rPr>
          <w:rFonts w:cstheme="minorHAnsi"/>
          <w:bCs/>
          <w:color w:val="000000"/>
        </w:rPr>
        <w:t>solo omeprazolo capsule 20 e 40 mg)</w:t>
      </w:r>
      <w:r w:rsidR="003E3CD5">
        <w:rPr>
          <w:rFonts w:cstheme="minorHAnsi"/>
          <w:bCs/>
          <w:color w:val="000000"/>
        </w:rPr>
        <w:t xml:space="preserve">; </w:t>
      </w:r>
    </w:p>
    <w:p w14:paraId="04C64E65" w14:textId="695B864F" w:rsidR="00C77328" w:rsidRPr="00777626" w:rsidRDefault="00C77328" w:rsidP="00777626">
      <w:pPr>
        <w:pStyle w:val="Paragrafoelenco"/>
        <w:numPr>
          <w:ilvl w:val="0"/>
          <w:numId w:val="20"/>
        </w:numPr>
        <w:spacing w:after="0" w:line="240" w:lineRule="auto"/>
        <w:contextualSpacing w:val="0"/>
        <w:jc w:val="both"/>
        <w:rPr>
          <w:rFonts w:cstheme="minorHAnsi"/>
          <w:bCs/>
          <w:color w:val="000000"/>
        </w:rPr>
      </w:pPr>
      <w:r w:rsidRPr="00777626">
        <w:rPr>
          <w:rFonts w:cstheme="minorHAnsi"/>
          <w:bCs/>
          <w:color w:val="000000"/>
        </w:rPr>
        <w:t>il sistema di prevenzione delle manomissioni</w:t>
      </w:r>
      <w:r w:rsidR="00120F11">
        <w:rPr>
          <w:rFonts w:cstheme="minorHAnsi"/>
          <w:bCs/>
          <w:color w:val="000000"/>
        </w:rPr>
        <w:t xml:space="preserve">, che deve </w:t>
      </w:r>
      <w:r w:rsidR="00120F11" w:rsidRPr="00120F11">
        <w:rPr>
          <w:rFonts w:cstheme="minorHAnsi"/>
          <w:bCs/>
          <w:color w:val="000000"/>
        </w:rPr>
        <w:t>consent</w:t>
      </w:r>
      <w:r w:rsidR="00120F11">
        <w:rPr>
          <w:rFonts w:cstheme="minorHAnsi"/>
          <w:bCs/>
          <w:color w:val="000000"/>
        </w:rPr>
        <w:t>ire</w:t>
      </w:r>
      <w:r w:rsidR="00120F11" w:rsidRPr="00120F11">
        <w:rPr>
          <w:rFonts w:cstheme="minorHAnsi"/>
          <w:bCs/>
          <w:color w:val="000000"/>
        </w:rPr>
        <w:t xml:space="preserve"> di verificare se l'imballaggio di un medicinale è stato oggetto di manomissione</w:t>
      </w:r>
      <w:r w:rsidR="00F14AD2">
        <w:rPr>
          <w:rFonts w:cstheme="minorHAnsi"/>
          <w:bCs/>
          <w:color w:val="000000"/>
        </w:rPr>
        <w:t xml:space="preserve"> (in proseguo </w:t>
      </w:r>
      <w:r w:rsidR="003E3CD5">
        <w:rPr>
          <w:rFonts w:cstheme="minorHAnsi"/>
          <w:bCs/>
          <w:color w:val="000000"/>
        </w:rPr>
        <w:t>congiuntamente all’identificativo univoco anche</w:t>
      </w:r>
      <w:r w:rsidR="00F14AD2">
        <w:rPr>
          <w:rFonts w:cstheme="minorHAnsi"/>
          <w:bCs/>
          <w:color w:val="000000"/>
        </w:rPr>
        <w:t xml:space="preserve"> “</w:t>
      </w:r>
      <w:r w:rsidR="00F14AD2" w:rsidRPr="00777626">
        <w:rPr>
          <w:rFonts w:cstheme="minorHAnsi"/>
          <w:b/>
          <w:color w:val="000000"/>
        </w:rPr>
        <w:t>caratteristiche di sicurezza</w:t>
      </w:r>
      <w:r w:rsidR="00F14AD2">
        <w:rPr>
          <w:rFonts w:cstheme="minorHAnsi"/>
          <w:bCs/>
          <w:color w:val="000000"/>
        </w:rPr>
        <w:t>”)</w:t>
      </w:r>
      <w:r w:rsidRPr="00777626">
        <w:rPr>
          <w:rFonts w:cstheme="minorHAnsi"/>
          <w:bCs/>
          <w:color w:val="000000"/>
        </w:rPr>
        <w:t>;</w:t>
      </w:r>
    </w:p>
    <w:p w14:paraId="10AD5BAE" w14:textId="2D5BAD82" w:rsidR="00D96090" w:rsidRPr="00777626" w:rsidRDefault="00C77328" w:rsidP="00777626">
      <w:pPr>
        <w:pStyle w:val="Paragrafoelenco"/>
        <w:numPr>
          <w:ilvl w:val="0"/>
          <w:numId w:val="20"/>
        </w:numPr>
        <w:spacing w:after="0" w:line="240" w:lineRule="auto"/>
        <w:contextualSpacing w:val="0"/>
        <w:jc w:val="both"/>
        <w:rPr>
          <w:rFonts w:cstheme="minorHAnsi"/>
          <w:bCs/>
          <w:color w:val="000000"/>
        </w:rPr>
      </w:pPr>
      <w:r w:rsidRPr="00777626">
        <w:rPr>
          <w:rFonts w:cstheme="minorHAnsi"/>
          <w:bCs/>
          <w:color w:val="000000"/>
        </w:rPr>
        <w:t>le regole di verifica</w:t>
      </w:r>
      <w:r w:rsidR="00120F11">
        <w:rPr>
          <w:rFonts w:cstheme="minorHAnsi"/>
          <w:bCs/>
          <w:color w:val="000000"/>
        </w:rPr>
        <w:t xml:space="preserve"> che devono essere applicate</w:t>
      </w:r>
      <w:r w:rsidRPr="00777626">
        <w:rPr>
          <w:rFonts w:cstheme="minorHAnsi"/>
          <w:bCs/>
          <w:color w:val="000000"/>
        </w:rPr>
        <w:t xml:space="preserve"> </w:t>
      </w:r>
      <w:r w:rsidR="00120F11">
        <w:rPr>
          <w:rFonts w:cstheme="minorHAnsi"/>
          <w:bCs/>
          <w:color w:val="000000"/>
        </w:rPr>
        <w:t>d</w:t>
      </w:r>
      <w:r w:rsidR="00D96090" w:rsidRPr="00777626">
        <w:rPr>
          <w:rFonts w:cstheme="minorHAnsi"/>
          <w:bCs/>
          <w:color w:val="000000"/>
        </w:rPr>
        <w:t>all'inizio della catena di</w:t>
      </w:r>
      <w:r w:rsidR="007910B5">
        <w:rPr>
          <w:rFonts w:cstheme="minorHAnsi"/>
          <w:bCs/>
          <w:color w:val="000000"/>
        </w:rPr>
        <w:t xml:space="preserve"> produzione del medicinale </w:t>
      </w:r>
      <w:r w:rsidR="00D96090" w:rsidRPr="00777626">
        <w:rPr>
          <w:rFonts w:cstheme="minorHAnsi"/>
          <w:bCs/>
          <w:color w:val="000000"/>
        </w:rPr>
        <w:t xml:space="preserve">fino a quando </w:t>
      </w:r>
      <w:r w:rsidR="007910B5">
        <w:rPr>
          <w:rFonts w:cstheme="minorHAnsi"/>
          <w:bCs/>
          <w:color w:val="000000"/>
        </w:rPr>
        <w:t xml:space="preserve">lo stesso </w:t>
      </w:r>
      <w:r w:rsidR="00D96090" w:rsidRPr="00777626">
        <w:rPr>
          <w:rFonts w:cstheme="minorHAnsi"/>
          <w:bCs/>
          <w:color w:val="000000"/>
        </w:rPr>
        <w:t>è fornito al pubblico</w:t>
      </w:r>
      <w:r w:rsidR="00120F11">
        <w:rPr>
          <w:rFonts w:cstheme="minorHAnsi"/>
          <w:bCs/>
          <w:color w:val="000000"/>
        </w:rPr>
        <w:t xml:space="preserve"> e che consistono nel </w:t>
      </w:r>
      <w:r w:rsidR="00D96090" w:rsidRPr="00777626">
        <w:rPr>
          <w:rFonts w:cstheme="minorHAnsi"/>
          <w:bCs/>
          <w:color w:val="000000"/>
        </w:rPr>
        <w:t>controllo del</w:t>
      </w:r>
      <w:r w:rsidRPr="00777626">
        <w:rPr>
          <w:rFonts w:cstheme="minorHAnsi"/>
          <w:bCs/>
          <w:color w:val="000000"/>
        </w:rPr>
        <w:t>l'autenticità dell'identificativo</w:t>
      </w:r>
      <w:r w:rsidR="00D96090" w:rsidRPr="00777626">
        <w:rPr>
          <w:rFonts w:cstheme="minorHAnsi"/>
          <w:bCs/>
          <w:color w:val="000000"/>
        </w:rPr>
        <w:t xml:space="preserve"> univoco</w:t>
      </w:r>
      <w:r w:rsidRPr="00777626">
        <w:rPr>
          <w:rFonts w:cstheme="minorHAnsi"/>
          <w:bCs/>
          <w:color w:val="000000"/>
        </w:rPr>
        <w:t xml:space="preserve">, tramite un sistema di archiviazione dati, e </w:t>
      </w:r>
      <w:r w:rsidR="007910B5">
        <w:rPr>
          <w:rFonts w:cstheme="minorHAnsi"/>
          <w:bCs/>
          <w:color w:val="000000"/>
        </w:rPr>
        <w:t>de</w:t>
      </w:r>
      <w:r w:rsidR="007910B5" w:rsidRPr="007910B5">
        <w:rPr>
          <w:rFonts w:cstheme="minorHAnsi"/>
          <w:bCs/>
          <w:color w:val="000000"/>
        </w:rPr>
        <w:t>l</w:t>
      </w:r>
      <w:r w:rsidR="007910B5">
        <w:rPr>
          <w:rFonts w:cstheme="minorHAnsi"/>
          <w:bCs/>
          <w:color w:val="000000"/>
        </w:rPr>
        <w:t>l’</w:t>
      </w:r>
      <w:r w:rsidR="007910B5" w:rsidRPr="007910B5">
        <w:rPr>
          <w:rFonts w:cstheme="minorHAnsi"/>
          <w:bCs/>
          <w:color w:val="000000"/>
        </w:rPr>
        <w:t>integrità</w:t>
      </w:r>
      <w:r w:rsidRPr="00777626">
        <w:rPr>
          <w:rFonts w:cstheme="minorHAnsi"/>
          <w:bCs/>
          <w:color w:val="000000"/>
        </w:rPr>
        <w:t xml:space="preserve"> del </w:t>
      </w:r>
      <w:r w:rsidR="00D96090" w:rsidRPr="00777626">
        <w:rPr>
          <w:rFonts w:cstheme="minorHAnsi"/>
          <w:bCs/>
          <w:color w:val="000000"/>
        </w:rPr>
        <w:t>sistema di prevenzione delle manomissioni</w:t>
      </w:r>
      <w:r w:rsidR="00205E2B" w:rsidRPr="00777626">
        <w:rPr>
          <w:rFonts w:cstheme="minorHAnsi"/>
          <w:bCs/>
          <w:color w:val="000000"/>
        </w:rPr>
        <w:t xml:space="preserve">; e </w:t>
      </w:r>
    </w:p>
    <w:p w14:paraId="7C66C8BB" w14:textId="42D01B16" w:rsidR="00205E2B" w:rsidRPr="007910B5" w:rsidRDefault="00205E2B" w:rsidP="00777626">
      <w:pPr>
        <w:pStyle w:val="Paragrafoelenco"/>
        <w:numPr>
          <w:ilvl w:val="0"/>
          <w:numId w:val="20"/>
        </w:numPr>
        <w:spacing w:after="0" w:line="240" w:lineRule="auto"/>
        <w:contextualSpacing w:val="0"/>
        <w:jc w:val="both"/>
        <w:rPr>
          <w:rFonts w:cstheme="minorHAnsi"/>
          <w:bCs/>
          <w:color w:val="000000"/>
        </w:rPr>
      </w:pPr>
      <w:r w:rsidRPr="00777626">
        <w:rPr>
          <w:rFonts w:cstheme="minorHAnsi"/>
          <w:bCs/>
          <w:color w:val="000000"/>
        </w:rPr>
        <w:t>la costituzione</w:t>
      </w:r>
      <w:r w:rsidR="007910B5">
        <w:rPr>
          <w:rFonts w:cstheme="minorHAnsi"/>
          <w:bCs/>
          <w:color w:val="000000"/>
        </w:rPr>
        <w:t xml:space="preserve"> e </w:t>
      </w:r>
      <w:r w:rsidR="007910B5" w:rsidRPr="00777626">
        <w:rPr>
          <w:rFonts w:cstheme="minorHAnsi"/>
          <w:bCs/>
          <w:color w:val="000000"/>
        </w:rPr>
        <w:t>gestione del sistema di archivi</w:t>
      </w:r>
      <w:r w:rsidR="007910B5">
        <w:rPr>
          <w:rFonts w:cstheme="minorHAnsi"/>
          <w:bCs/>
          <w:color w:val="000000"/>
        </w:rPr>
        <w:t>azione dei dati</w:t>
      </w:r>
      <w:r w:rsidR="003E3CD5">
        <w:rPr>
          <w:rFonts w:cstheme="minorHAnsi"/>
          <w:bCs/>
          <w:color w:val="000000"/>
        </w:rPr>
        <w:t>,</w:t>
      </w:r>
      <w:r w:rsidRPr="00777626">
        <w:rPr>
          <w:rFonts w:cstheme="minorHAnsi"/>
          <w:bCs/>
          <w:color w:val="000000"/>
        </w:rPr>
        <w:t xml:space="preserve"> </w:t>
      </w:r>
      <w:r w:rsidR="007910B5" w:rsidRPr="007910B5">
        <w:rPr>
          <w:rFonts w:cstheme="minorHAnsi"/>
          <w:bCs/>
          <w:color w:val="000000"/>
        </w:rPr>
        <w:t xml:space="preserve">da parte di uno o più soggetti giuridici senza scopo di lucro istituiti nell'Unione dai produttori e dai titolari di un'autorizzazione all'immissione in commercio </w:t>
      </w:r>
      <w:r w:rsidR="003E3CD5">
        <w:rPr>
          <w:rFonts w:cstheme="minorHAnsi"/>
          <w:bCs/>
          <w:color w:val="000000"/>
        </w:rPr>
        <w:t>(“</w:t>
      </w:r>
      <w:r w:rsidR="003E3CD5" w:rsidRPr="00777626">
        <w:rPr>
          <w:rFonts w:cstheme="minorHAnsi"/>
          <w:b/>
          <w:color w:val="000000"/>
        </w:rPr>
        <w:t>AIC</w:t>
      </w:r>
      <w:r w:rsidR="003E3CD5">
        <w:rPr>
          <w:rFonts w:cstheme="minorHAnsi"/>
          <w:bCs/>
          <w:color w:val="000000"/>
        </w:rPr>
        <w:t xml:space="preserve">”) </w:t>
      </w:r>
      <w:r w:rsidR="007910B5" w:rsidRPr="007910B5">
        <w:rPr>
          <w:rFonts w:cstheme="minorHAnsi"/>
          <w:bCs/>
          <w:color w:val="000000"/>
        </w:rPr>
        <w:t>dei medicinali</w:t>
      </w:r>
      <w:r w:rsidR="007910B5">
        <w:rPr>
          <w:rFonts w:cstheme="minorHAnsi"/>
          <w:bCs/>
          <w:color w:val="000000"/>
        </w:rPr>
        <w:t xml:space="preserve"> nonché la struttura di tale sistema.</w:t>
      </w:r>
    </w:p>
    <w:p w14:paraId="26999D3A" w14:textId="77777777" w:rsidR="001A5773" w:rsidRPr="00777626" w:rsidRDefault="001A5773" w:rsidP="00777626">
      <w:pPr>
        <w:pStyle w:val="Paragrafoelenco"/>
        <w:spacing w:after="0" w:line="240" w:lineRule="auto"/>
        <w:contextualSpacing w:val="0"/>
        <w:jc w:val="both"/>
        <w:rPr>
          <w:rFonts w:cstheme="minorHAnsi"/>
          <w:bCs/>
          <w:color w:val="000000"/>
        </w:rPr>
      </w:pPr>
    </w:p>
    <w:p w14:paraId="04B3A9F5" w14:textId="1CEB7D47" w:rsidR="001A5773" w:rsidRDefault="00C77328" w:rsidP="001A5773">
      <w:pPr>
        <w:spacing w:after="0" w:line="240" w:lineRule="auto"/>
        <w:jc w:val="both"/>
        <w:rPr>
          <w:rFonts w:cstheme="minorHAnsi"/>
          <w:bCs/>
          <w:color w:val="000000"/>
        </w:rPr>
      </w:pPr>
      <w:r w:rsidRPr="00777626">
        <w:rPr>
          <w:rFonts w:cstheme="minorHAnsi"/>
          <w:bCs/>
          <w:color w:val="000000"/>
        </w:rPr>
        <w:t xml:space="preserve">Il </w:t>
      </w:r>
      <w:r w:rsidR="001E1E3E" w:rsidRPr="00777626">
        <w:rPr>
          <w:rFonts w:cstheme="minorHAnsi"/>
          <w:bCs/>
          <w:color w:val="000000"/>
        </w:rPr>
        <w:t>R</w:t>
      </w:r>
      <w:r w:rsidRPr="00777626">
        <w:rPr>
          <w:rFonts w:cstheme="minorHAnsi"/>
          <w:bCs/>
          <w:color w:val="000000"/>
        </w:rPr>
        <w:t xml:space="preserve">egolamento è entrato in vigore per tutti i Paesi europei il 9 febbraio 2019, salvo per </w:t>
      </w:r>
      <w:r w:rsidR="001E2B7F" w:rsidRPr="00777626">
        <w:rPr>
          <w:rFonts w:cstheme="minorHAnsi"/>
          <w:bCs/>
          <w:color w:val="000000"/>
        </w:rPr>
        <w:t>il</w:t>
      </w:r>
      <w:r w:rsidRPr="00777626">
        <w:rPr>
          <w:rFonts w:cstheme="minorHAnsi"/>
          <w:bCs/>
          <w:color w:val="000000"/>
        </w:rPr>
        <w:t xml:space="preserve"> Belgio</w:t>
      </w:r>
      <w:r w:rsidR="001E2B7F" w:rsidRPr="00777626">
        <w:rPr>
          <w:rFonts w:cstheme="minorHAnsi"/>
          <w:bCs/>
          <w:color w:val="000000"/>
        </w:rPr>
        <w:t>, la</w:t>
      </w:r>
      <w:r w:rsidRPr="00777626">
        <w:rPr>
          <w:rFonts w:cstheme="minorHAnsi"/>
          <w:bCs/>
          <w:color w:val="000000"/>
        </w:rPr>
        <w:t xml:space="preserve"> Grecia</w:t>
      </w:r>
      <w:r w:rsidR="001E2B7F" w:rsidRPr="00777626">
        <w:rPr>
          <w:rFonts w:cstheme="minorHAnsi"/>
          <w:bCs/>
          <w:color w:val="000000"/>
        </w:rPr>
        <w:t xml:space="preserve"> e l’Italia,</w:t>
      </w:r>
      <w:r w:rsidRPr="00777626">
        <w:rPr>
          <w:rFonts w:cstheme="minorHAnsi"/>
          <w:bCs/>
          <w:color w:val="000000"/>
        </w:rPr>
        <w:t xml:space="preserve"> che essendo già dotati di sistemi di tracciatura</w:t>
      </w:r>
      <w:r w:rsidR="001E2B7F" w:rsidRPr="00777626">
        <w:rPr>
          <w:rFonts w:cstheme="minorHAnsi"/>
          <w:bCs/>
          <w:color w:val="000000"/>
        </w:rPr>
        <w:t xml:space="preserve"> devono attuare </w:t>
      </w:r>
      <w:r w:rsidR="007910B5">
        <w:rPr>
          <w:rFonts w:cstheme="minorHAnsi"/>
          <w:bCs/>
          <w:color w:val="000000"/>
        </w:rPr>
        <w:t>gli obblighi de</w:t>
      </w:r>
      <w:r w:rsidR="001E2B7F" w:rsidRPr="00777626">
        <w:rPr>
          <w:rFonts w:cstheme="minorHAnsi"/>
          <w:bCs/>
          <w:color w:val="000000"/>
        </w:rPr>
        <w:t>l Regolamento</w:t>
      </w:r>
      <w:r w:rsidR="007910B5">
        <w:rPr>
          <w:rFonts w:cstheme="minorHAnsi"/>
          <w:bCs/>
          <w:color w:val="000000"/>
        </w:rPr>
        <w:t xml:space="preserve"> </w:t>
      </w:r>
      <w:r w:rsidR="001E2B7F" w:rsidRPr="00777626">
        <w:rPr>
          <w:rFonts w:cstheme="minorHAnsi"/>
          <w:bCs/>
          <w:color w:val="000000"/>
          <w:u w:val="single"/>
        </w:rPr>
        <w:t>entro il 9 febbraio 2025</w:t>
      </w:r>
      <w:r w:rsidR="001E2B7F" w:rsidRPr="00777626">
        <w:rPr>
          <w:rFonts w:cstheme="minorHAnsi"/>
          <w:bCs/>
          <w:color w:val="000000"/>
        </w:rPr>
        <w:t xml:space="preserve">. </w:t>
      </w:r>
    </w:p>
    <w:p w14:paraId="05D729DA" w14:textId="77777777" w:rsidR="001A5773" w:rsidRDefault="001A5773" w:rsidP="001A5773">
      <w:pPr>
        <w:spacing w:after="0" w:line="240" w:lineRule="auto"/>
        <w:jc w:val="both"/>
        <w:rPr>
          <w:rFonts w:cstheme="minorHAnsi"/>
          <w:bCs/>
          <w:color w:val="000000"/>
        </w:rPr>
      </w:pPr>
    </w:p>
    <w:p w14:paraId="7694BEA9" w14:textId="48869611" w:rsidR="007910B5" w:rsidRDefault="007910B5" w:rsidP="001A5773">
      <w:pPr>
        <w:spacing w:after="0" w:line="240" w:lineRule="auto"/>
        <w:jc w:val="both"/>
        <w:rPr>
          <w:rFonts w:cstheme="minorHAnsi"/>
          <w:bCs/>
          <w:color w:val="000000"/>
        </w:rPr>
      </w:pPr>
      <w:r>
        <w:rPr>
          <w:rFonts w:cstheme="minorHAnsi"/>
          <w:bCs/>
          <w:color w:val="000000"/>
        </w:rPr>
        <w:t>A</w:t>
      </w:r>
      <w:r w:rsidR="00205E2B" w:rsidRPr="00777626">
        <w:rPr>
          <w:rFonts w:cstheme="minorHAnsi"/>
          <w:bCs/>
          <w:color w:val="000000"/>
        </w:rPr>
        <w:t>d oggi</w:t>
      </w:r>
      <w:r w:rsidR="001E2B7F" w:rsidRPr="00777626">
        <w:rPr>
          <w:rFonts w:cstheme="minorHAnsi"/>
          <w:bCs/>
          <w:color w:val="000000"/>
        </w:rPr>
        <w:t>,</w:t>
      </w:r>
      <w:r>
        <w:rPr>
          <w:rFonts w:cstheme="minorHAnsi"/>
          <w:bCs/>
          <w:color w:val="000000"/>
        </w:rPr>
        <w:t xml:space="preserve"> infatti,</w:t>
      </w:r>
      <w:r w:rsidR="001E2B7F" w:rsidRPr="00777626">
        <w:rPr>
          <w:rFonts w:cstheme="minorHAnsi"/>
          <w:bCs/>
          <w:color w:val="000000"/>
        </w:rPr>
        <w:t xml:space="preserve"> </w:t>
      </w:r>
      <w:r>
        <w:rPr>
          <w:rFonts w:cstheme="minorHAnsi"/>
          <w:bCs/>
          <w:color w:val="000000"/>
        </w:rPr>
        <w:t xml:space="preserve">esiste </w:t>
      </w:r>
      <w:r w:rsidR="001E2B7F" w:rsidRPr="00777626">
        <w:rPr>
          <w:rFonts w:cstheme="minorHAnsi"/>
          <w:bCs/>
          <w:color w:val="000000"/>
        </w:rPr>
        <w:t xml:space="preserve">in Italia un sistema di tracciatura </w:t>
      </w:r>
      <w:r>
        <w:rPr>
          <w:rFonts w:cstheme="minorHAnsi"/>
          <w:bCs/>
          <w:color w:val="000000"/>
        </w:rPr>
        <w:t xml:space="preserve">dei medicinali, </w:t>
      </w:r>
      <w:r w:rsidR="001E2B7F" w:rsidRPr="00777626">
        <w:rPr>
          <w:rFonts w:cstheme="minorHAnsi"/>
          <w:bCs/>
          <w:color w:val="000000"/>
        </w:rPr>
        <w:t xml:space="preserve">previsto dall’articolo 5-bis del decreto legislativo 30 dicembre 1992, n. 540, </w:t>
      </w:r>
      <w:r w:rsidR="00205E2B" w:rsidRPr="00777626">
        <w:rPr>
          <w:rFonts w:cstheme="minorHAnsi"/>
          <w:bCs/>
          <w:color w:val="000000"/>
        </w:rPr>
        <w:t xml:space="preserve">che </w:t>
      </w:r>
      <w:r w:rsidR="001E2B7F" w:rsidRPr="00777626">
        <w:rPr>
          <w:rFonts w:cstheme="minorHAnsi"/>
          <w:bCs/>
          <w:color w:val="000000"/>
        </w:rPr>
        <w:t>d</w:t>
      </w:r>
      <w:r w:rsidRPr="00777626">
        <w:rPr>
          <w:rFonts w:cstheme="minorHAnsi"/>
          <w:bCs/>
          <w:color w:val="000000"/>
        </w:rPr>
        <w:t>isciplina</w:t>
      </w:r>
      <w:r w:rsidR="001E2B7F" w:rsidRPr="00777626">
        <w:rPr>
          <w:rFonts w:cstheme="minorHAnsi"/>
          <w:bCs/>
          <w:color w:val="000000"/>
        </w:rPr>
        <w:t xml:space="preserve"> </w:t>
      </w:r>
      <w:r w:rsidRPr="00777626">
        <w:rPr>
          <w:rFonts w:cstheme="minorHAnsi"/>
          <w:bCs/>
          <w:color w:val="000000"/>
        </w:rPr>
        <w:t>i</w:t>
      </w:r>
      <w:r w:rsidR="001E2B7F" w:rsidRPr="00777626">
        <w:rPr>
          <w:rFonts w:cstheme="minorHAnsi"/>
          <w:bCs/>
          <w:color w:val="000000"/>
        </w:rPr>
        <w:t>l bollino farmaceutico</w:t>
      </w:r>
      <w:r w:rsidR="00205E2B" w:rsidRPr="00777626">
        <w:rPr>
          <w:rFonts w:cstheme="minorHAnsi"/>
          <w:bCs/>
          <w:color w:val="000000"/>
        </w:rPr>
        <w:t>, prodotto dall’Istituto Poligrafico e Zecca dello Stato</w:t>
      </w:r>
      <w:r w:rsidRPr="00777626">
        <w:rPr>
          <w:rFonts w:cstheme="minorHAnsi"/>
          <w:bCs/>
          <w:color w:val="000000"/>
        </w:rPr>
        <w:t xml:space="preserve"> (“</w:t>
      </w:r>
      <w:r w:rsidRPr="00777626">
        <w:rPr>
          <w:rFonts w:cstheme="minorHAnsi"/>
          <w:b/>
          <w:color w:val="000000"/>
        </w:rPr>
        <w:t>IPZS</w:t>
      </w:r>
      <w:r w:rsidRPr="00777626">
        <w:rPr>
          <w:rFonts w:cstheme="minorHAnsi"/>
          <w:bCs/>
          <w:color w:val="000000"/>
        </w:rPr>
        <w:t>”)</w:t>
      </w:r>
      <w:r w:rsidR="00205E2B" w:rsidRPr="00777626">
        <w:rPr>
          <w:rFonts w:cstheme="minorHAnsi"/>
          <w:bCs/>
          <w:color w:val="000000"/>
        </w:rPr>
        <w:t>, che assicura l’identificazione univoca di tutte le confezioni immesse in commercio, nonché una banca dati, istituita presso il Ministero della salute nell’ambito del Nuovo Sistema Informativo Sanitario (NSIS)</w:t>
      </w:r>
      <w:r w:rsidR="00C77328" w:rsidRPr="00777626">
        <w:rPr>
          <w:rFonts w:cstheme="minorHAnsi"/>
          <w:bCs/>
          <w:color w:val="000000"/>
        </w:rPr>
        <w:t xml:space="preserve">. </w:t>
      </w:r>
    </w:p>
    <w:p w14:paraId="72558A4C" w14:textId="6E34AB97" w:rsidR="003E3CD5" w:rsidRDefault="0007044F" w:rsidP="007910B5">
      <w:pPr>
        <w:spacing w:after="0" w:line="240" w:lineRule="auto"/>
        <w:jc w:val="both"/>
        <w:rPr>
          <w:rFonts w:cstheme="minorHAnsi"/>
          <w:bCs/>
          <w:color w:val="000000"/>
        </w:rPr>
      </w:pPr>
      <w:r w:rsidRPr="00777626">
        <w:rPr>
          <w:rFonts w:cstheme="minorHAnsi"/>
          <w:bCs/>
          <w:color w:val="000000"/>
        </w:rPr>
        <w:lastRenderedPageBreak/>
        <w:t xml:space="preserve">Proprio </w:t>
      </w:r>
      <w:r w:rsidR="007910B5">
        <w:rPr>
          <w:rFonts w:cstheme="minorHAnsi"/>
          <w:bCs/>
          <w:color w:val="000000"/>
        </w:rPr>
        <w:t xml:space="preserve">per via </w:t>
      </w:r>
      <w:r w:rsidRPr="00777626">
        <w:rPr>
          <w:rFonts w:cstheme="minorHAnsi"/>
          <w:bCs/>
          <w:color w:val="000000"/>
        </w:rPr>
        <w:t>dell’esistenza d</w:t>
      </w:r>
      <w:r w:rsidR="007910B5">
        <w:rPr>
          <w:rFonts w:cstheme="minorHAnsi"/>
          <w:bCs/>
          <w:color w:val="000000"/>
        </w:rPr>
        <w:t xml:space="preserve">i suddetto </w:t>
      </w:r>
      <w:r w:rsidRPr="00777626">
        <w:rPr>
          <w:rFonts w:cstheme="minorHAnsi"/>
          <w:bCs/>
          <w:color w:val="000000"/>
        </w:rPr>
        <w:t>sistema italiano</w:t>
      </w:r>
      <w:r w:rsidR="00205E2B" w:rsidRPr="00777626">
        <w:rPr>
          <w:rFonts w:cstheme="minorHAnsi"/>
          <w:bCs/>
          <w:color w:val="000000"/>
        </w:rPr>
        <w:t xml:space="preserve">, </w:t>
      </w:r>
      <w:r w:rsidRPr="00777626">
        <w:rPr>
          <w:rFonts w:cstheme="minorHAnsi"/>
          <w:bCs/>
          <w:color w:val="000000"/>
        </w:rPr>
        <w:t xml:space="preserve">e </w:t>
      </w:r>
      <w:r w:rsidR="00205E2B" w:rsidRPr="00777626">
        <w:rPr>
          <w:rFonts w:cstheme="minorHAnsi"/>
          <w:bCs/>
          <w:color w:val="000000"/>
        </w:rPr>
        <w:t xml:space="preserve">a seguito di </w:t>
      </w:r>
      <w:r w:rsidR="002D24BD" w:rsidRPr="00777626">
        <w:rPr>
          <w:rFonts w:cstheme="minorHAnsi"/>
          <w:bCs/>
          <w:color w:val="000000"/>
        </w:rPr>
        <w:t xml:space="preserve">un’approfondita </w:t>
      </w:r>
      <w:r w:rsidR="00ED7C4F" w:rsidRPr="00777626">
        <w:rPr>
          <w:rFonts w:cstheme="minorHAnsi"/>
          <w:bCs/>
          <w:color w:val="000000"/>
        </w:rPr>
        <w:t>consultazione</w:t>
      </w:r>
      <w:r w:rsidR="002D24BD" w:rsidRPr="00777626">
        <w:rPr>
          <w:rFonts w:cstheme="minorHAnsi"/>
          <w:bCs/>
          <w:color w:val="000000"/>
        </w:rPr>
        <w:t xml:space="preserve"> con gli </w:t>
      </w:r>
      <w:r w:rsidR="002D24BD" w:rsidRPr="00777626">
        <w:rPr>
          <w:rFonts w:cstheme="minorHAnsi"/>
          <w:bCs/>
          <w:i/>
          <w:color w:val="000000"/>
        </w:rPr>
        <w:t>stakeholder</w:t>
      </w:r>
      <w:r w:rsidR="002D24BD" w:rsidRPr="00777626">
        <w:rPr>
          <w:rFonts w:cstheme="minorHAnsi"/>
          <w:bCs/>
          <w:color w:val="000000"/>
        </w:rPr>
        <w:t xml:space="preserve"> privati coinvolti</w:t>
      </w:r>
      <w:r w:rsidR="00BF2293" w:rsidRPr="00777626">
        <w:rPr>
          <w:rFonts w:cstheme="minorHAnsi"/>
          <w:bCs/>
          <w:color w:val="000000"/>
        </w:rPr>
        <w:t xml:space="preserve"> </w:t>
      </w:r>
      <w:r w:rsidR="002D24BD" w:rsidRPr="00777626">
        <w:rPr>
          <w:rFonts w:cstheme="minorHAnsi"/>
          <w:bCs/>
          <w:color w:val="000000"/>
        </w:rPr>
        <w:t>dalle novità introdotte dal Regolamento</w:t>
      </w:r>
      <w:r w:rsidR="00ED7C4F" w:rsidRPr="00777626">
        <w:rPr>
          <w:rFonts w:cstheme="minorHAnsi"/>
          <w:bCs/>
          <w:color w:val="000000"/>
        </w:rPr>
        <w:t>,</w:t>
      </w:r>
      <w:r w:rsidR="007910B5">
        <w:rPr>
          <w:rFonts w:cstheme="minorHAnsi"/>
          <w:bCs/>
          <w:color w:val="000000"/>
        </w:rPr>
        <w:t xml:space="preserve"> nel corso del 2023,</w:t>
      </w:r>
      <w:r w:rsidR="00A4448F" w:rsidRPr="00777626">
        <w:rPr>
          <w:rFonts w:cstheme="minorHAnsi"/>
          <w:bCs/>
          <w:color w:val="000000"/>
        </w:rPr>
        <w:t xml:space="preserve"> </w:t>
      </w:r>
      <w:r w:rsidRPr="00777626">
        <w:rPr>
          <w:rFonts w:cstheme="minorHAnsi"/>
          <w:bCs/>
          <w:color w:val="000000"/>
        </w:rPr>
        <w:t xml:space="preserve">la Direzione Generale della digitalizzazione, del sistema informativo sanitario e della statistica del Ministero della salute ha proposto alla Commissione europea (DG SANTE’) </w:t>
      </w:r>
      <w:r w:rsidR="002D24BD" w:rsidRPr="00777626">
        <w:rPr>
          <w:rFonts w:cstheme="minorHAnsi"/>
          <w:bCs/>
          <w:color w:val="000000"/>
        </w:rPr>
        <w:t>un</w:t>
      </w:r>
      <w:r w:rsidR="00ED7C4F" w:rsidRPr="00777626">
        <w:rPr>
          <w:rFonts w:cstheme="minorHAnsi"/>
          <w:bCs/>
          <w:color w:val="000000"/>
        </w:rPr>
        <w:t xml:space="preserve">a proroga </w:t>
      </w:r>
      <w:r w:rsidR="002D24BD" w:rsidRPr="00777626">
        <w:rPr>
          <w:rFonts w:cstheme="minorHAnsi"/>
          <w:bCs/>
          <w:color w:val="000000"/>
        </w:rPr>
        <w:t xml:space="preserve">del periodo transitorio </w:t>
      </w:r>
      <w:r w:rsidRPr="00777626">
        <w:rPr>
          <w:rFonts w:cstheme="minorHAnsi"/>
          <w:bCs/>
          <w:color w:val="000000"/>
        </w:rPr>
        <w:t xml:space="preserve">originariamente previsto, </w:t>
      </w:r>
      <w:r w:rsidR="007910B5">
        <w:rPr>
          <w:rFonts w:cstheme="minorHAnsi"/>
          <w:bCs/>
          <w:color w:val="000000"/>
        </w:rPr>
        <w:t>fino al</w:t>
      </w:r>
      <w:r w:rsidR="009E741A" w:rsidRPr="00777626">
        <w:rPr>
          <w:rFonts w:cstheme="minorHAnsi"/>
          <w:bCs/>
          <w:color w:val="000000"/>
        </w:rPr>
        <w:t xml:space="preserve"> </w:t>
      </w:r>
      <w:r w:rsidR="002D24BD" w:rsidRPr="00777626">
        <w:rPr>
          <w:rFonts w:cstheme="minorHAnsi"/>
          <w:bCs/>
          <w:color w:val="000000"/>
        </w:rPr>
        <w:t>9 febbraio 2028</w:t>
      </w:r>
      <w:r w:rsidR="00BF2293" w:rsidRPr="00777626">
        <w:rPr>
          <w:rFonts w:cstheme="minorHAnsi"/>
          <w:bCs/>
          <w:color w:val="000000"/>
        </w:rPr>
        <w:t xml:space="preserve">. </w:t>
      </w:r>
    </w:p>
    <w:p w14:paraId="63CB6B8C" w14:textId="1A0F0809" w:rsidR="00A734B5" w:rsidRDefault="007910B5" w:rsidP="007910B5">
      <w:pPr>
        <w:spacing w:after="0" w:line="240" w:lineRule="auto"/>
        <w:jc w:val="both"/>
        <w:rPr>
          <w:rFonts w:cstheme="minorHAnsi"/>
          <w:bCs/>
          <w:color w:val="000000"/>
        </w:rPr>
      </w:pPr>
      <w:r>
        <w:rPr>
          <w:rFonts w:cstheme="minorHAnsi"/>
          <w:bCs/>
          <w:color w:val="000000"/>
        </w:rPr>
        <w:t>Tale p</w:t>
      </w:r>
      <w:r w:rsidR="0007044F" w:rsidRPr="00777626">
        <w:rPr>
          <w:rFonts w:cstheme="minorHAnsi"/>
          <w:bCs/>
          <w:color w:val="000000"/>
        </w:rPr>
        <w:t>roposta</w:t>
      </w:r>
      <w:r w:rsidR="003E3CD5">
        <w:rPr>
          <w:rFonts w:cstheme="minorHAnsi"/>
          <w:bCs/>
          <w:color w:val="000000"/>
        </w:rPr>
        <w:t>,</w:t>
      </w:r>
      <w:r w:rsidR="0007044F" w:rsidRPr="00777626">
        <w:rPr>
          <w:rFonts w:cstheme="minorHAnsi"/>
          <w:bCs/>
          <w:color w:val="000000"/>
        </w:rPr>
        <w:t xml:space="preserve"> tuttavia</w:t>
      </w:r>
      <w:r w:rsidR="003E3CD5">
        <w:rPr>
          <w:rFonts w:cstheme="minorHAnsi"/>
          <w:bCs/>
          <w:color w:val="000000"/>
        </w:rPr>
        <w:t>,</w:t>
      </w:r>
      <w:r w:rsidR="0007044F" w:rsidRPr="00777626">
        <w:rPr>
          <w:rFonts w:cstheme="minorHAnsi"/>
          <w:bCs/>
          <w:color w:val="000000"/>
        </w:rPr>
        <w:t xml:space="preserve"> </w:t>
      </w:r>
      <w:r w:rsidR="009E741A" w:rsidRPr="00777626">
        <w:rPr>
          <w:rFonts w:cstheme="minorHAnsi"/>
          <w:bCs/>
          <w:color w:val="000000"/>
        </w:rPr>
        <w:t>non è stata accolta</w:t>
      </w:r>
      <w:r>
        <w:rPr>
          <w:rFonts w:cstheme="minorHAnsi"/>
          <w:bCs/>
          <w:color w:val="000000"/>
        </w:rPr>
        <w:t xml:space="preserve"> dalla</w:t>
      </w:r>
      <w:r w:rsidR="005E3AD3" w:rsidRPr="00777626">
        <w:rPr>
          <w:rFonts w:cstheme="minorHAnsi"/>
          <w:bCs/>
          <w:color w:val="000000"/>
        </w:rPr>
        <w:t xml:space="preserve"> DGSANTE’</w:t>
      </w:r>
      <w:r w:rsidR="0007044F" w:rsidRPr="00777626">
        <w:rPr>
          <w:rFonts w:cstheme="minorHAnsi"/>
          <w:bCs/>
          <w:color w:val="000000"/>
        </w:rPr>
        <w:t>,</w:t>
      </w:r>
      <w:r w:rsidR="004F3213" w:rsidRPr="00777626">
        <w:rPr>
          <w:rFonts w:cstheme="minorHAnsi"/>
          <w:bCs/>
          <w:color w:val="000000"/>
        </w:rPr>
        <w:t xml:space="preserve"> </w:t>
      </w:r>
      <w:r>
        <w:rPr>
          <w:rFonts w:cstheme="minorHAnsi"/>
          <w:bCs/>
          <w:color w:val="000000"/>
        </w:rPr>
        <w:t xml:space="preserve">la quale - </w:t>
      </w:r>
      <w:r w:rsidR="0007044F" w:rsidRPr="00777626">
        <w:rPr>
          <w:rFonts w:cstheme="minorHAnsi"/>
          <w:bCs/>
          <w:color w:val="000000"/>
        </w:rPr>
        <w:t xml:space="preserve">pur </w:t>
      </w:r>
      <w:r>
        <w:rPr>
          <w:rFonts w:cstheme="minorHAnsi"/>
          <w:bCs/>
          <w:color w:val="000000"/>
        </w:rPr>
        <w:t>riconoscendo</w:t>
      </w:r>
      <w:r w:rsidR="0007044F" w:rsidRPr="00777626">
        <w:rPr>
          <w:rFonts w:cstheme="minorHAnsi"/>
          <w:bCs/>
          <w:color w:val="000000"/>
        </w:rPr>
        <w:t xml:space="preserve"> le problematiche collegate all’introduzione del nuovo sistema</w:t>
      </w:r>
      <w:r w:rsidR="000C0EEE">
        <w:rPr>
          <w:rFonts w:cstheme="minorHAnsi"/>
          <w:bCs/>
          <w:color w:val="000000"/>
        </w:rPr>
        <w:t xml:space="preserve"> </w:t>
      </w:r>
      <w:r>
        <w:rPr>
          <w:rFonts w:cstheme="minorHAnsi"/>
          <w:bCs/>
          <w:color w:val="000000"/>
        </w:rPr>
        <w:t>–</w:t>
      </w:r>
      <w:r w:rsidR="0007044F" w:rsidRPr="00777626">
        <w:rPr>
          <w:rFonts w:cstheme="minorHAnsi"/>
          <w:bCs/>
          <w:color w:val="000000"/>
        </w:rPr>
        <w:t xml:space="preserve"> </w:t>
      </w:r>
      <w:r>
        <w:rPr>
          <w:rFonts w:cstheme="minorHAnsi"/>
          <w:bCs/>
          <w:color w:val="000000"/>
        </w:rPr>
        <w:t>ha ra</w:t>
      </w:r>
      <w:r w:rsidR="0007044F" w:rsidRPr="00777626">
        <w:rPr>
          <w:rFonts w:cstheme="minorHAnsi"/>
          <w:bCs/>
          <w:color w:val="000000"/>
        </w:rPr>
        <w:t xml:space="preserve">ppresentato </w:t>
      </w:r>
      <w:r w:rsidR="004F3213" w:rsidRPr="00777626">
        <w:rPr>
          <w:rFonts w:cstheme="minorHAnsi"/>
          <w:bCs/>
          <w:color w:val="000000"/>
        </w:rPr>
        <w:t xml:space="preserve">in modo inequivocabile l’obbligo giuridicamente vincolante </w:t>
      </w:r>
      <w:r>
        <w:rPr>
          <w:rFonts w:cstheme="minorHAnsi"/>
          <w:bCs/>
          <w:color w:val="000000"/>
        </w:rPr>
        <w:t xml:space="preserve">per l’Italia </w:t>
      </w:r>
      <w:r w:rsidR="004F3213" w:rsidRPr="00777626">
        <w:rPr>
          <w:rFonts w:cstheme="minorHAnsi"/>
          <w:bCs/>
          <w:color w:val="000000"/>
        </w:rPr>
        <w:t xml:space="preserve">di conformarsi entro il 9 febbraio 2025. </w:t>
      </w:r>
    </w:p>
    <w:p w14:paraId="0A094CEA" w14:textId="77777777" w:rsidR="001A5773" w:rsidRPr="00777626" w:rsidRDefault="001A5773" w:rsidP="00777626">
      <w:pPr>
        <w:spacing w:after="0" w:line="240" w:lineRule="auto"/>
        <w:jc w:val="both"/>
        <w:rPr>
          <w:rFonts w:cstheme="minorHAnsi"/>
          <w:bCs/>
          <w:color w:val="000000"/>
        </w:rPr>
      </w:pPr>
    </w:p>
    <w:p w14:paraId="69E8CB02" w14:textId="40C1FA10" w:rsidR="004F04E8" w:rsidRDefault="0007044F" w:rsidP="001A5773">
      <w:pPr>
        <w:pStyle w:val="NormaleWeb"/>
        <w:spacing w:before="0" w:beforeAutospacing="0" w:after="0" w:afterAutospacing="0"/>
        <w:jc w:val="both"/>
        <w:rPr>
          <w:rFonts w:asciiTheme="minorHAnsi" w:eastAsiaTheme="minorHAnsi" w:hAnsiTheme="minorHAnsi" w:cstheme="minorHAnsi"/>
          <w:bCs/>
          <w:color w:val="000000"/>
          <w:sz w:val="22"/>
          <w:szCs w:val="22"/>
          <w:lang w:val="it-IT" w:eastAsia="en-US"/>
        </w:rPr>
      </w:pPr>
      <w:r w:rsidRPr="003B0BFC">
        <w:rPr>
          <w:rFonts w:asciiTheme="minorHAnsi" w:eastAsiaTheme="minorHAnsi" w:hAnsiTheme="minorHAnsi" w:cstheme="minorHAnsi"/>
          <w:bCs/>
          <w:color w:val="000000"/>
          <w:sz w:val="22"/>
          <w:szCs w:val="22"/>
          <w:lang w:val="it-IT" w:eastAsia="en-US"/>
        </w:rPr>
        <w:t>Sulla scorta di quanto rappresentato</w:t>
      </w:r>
      <w:r w:rsidR="0083610C" w:rsidRPr="003B0BFC">
        <w:rPr>
          <w:rFonts w:asciiTheme="minorHAnsi" w:eastAsiaTheme="minorHAnsi" w:hAnsiTheme="minorHAnsi" w:cstheme="minorHAnsi"/>
          <w:bCs/>
          <w:color w:val="000000"/>
          <w:sz w:val="22"/>
          <w:szCs w:val="22"/>
          <w:lang w:val="it-IT" w:eastAsia="en-US"/>
        </w:rPr>
        <w:t xml:space="preserve"> dalla </w:t>
      </w:r>
      <w:r w:rsidR="00F14AD2" w:rsidRPr="003B0BFC">
        <w:rPr>
          <w:rFonts w:asciiTheme="minorHAnsi" w:eastAsiaTheme="minorHAnsi" w:hAnsiTheme="minorHAnsi" w:cstheme="minorHAnsi"/>
          <w:bCs/>
          <w:color w:val="000000"/>
          <w:sz w:val="22"/>
          <w:szCs w:val="22"/>
          <w:lang w:val="it-IT" w:eastAsia="en-US"/>
        </w:rPr>
        <w:t xml:space="preserve">DG SANTE’ </w:t>
      </w:r>
      <w:r w:rsidR="0083610C" w:rsidRPr="003B0BFC">
        <w:rPr>
          <w:rFonts w:asciiTheme="minorHAnsi" w:eastAsiaTheme="minorHAnsi" w:hAnsiTheme="minorHAnsi" w:cstheme="minorHAnsi"/>
          <w:bCs/>
          <w:color w:val="000000"/>
          <w:sz w:val="22"/>
          <w:szCs w:val="22"/>
          <w:lang w:val="it-IT" w:eastAsia="en-US"/>
        </w:rPr>
        <w:t>e al fine di evitare l’avvio di una procedura di infrazione nei confronti dell’Italia</w:t>
      </w:r>
      <w:r w:rsidRPr="003B0BFC">
        <w:rPr>
          <w:rFonts w:asciiTheme="minorHAnsi" w:eastAsiaTheme="minorHAnsi" w:hAnsiTheme="minorHAnsi" w:cstheme="minorHAnsi"/>
          <w:bCs/>
          <w:color w:val="000000"/>
          <w:sz w:val="22"/>
          <w:szCs w:val="22"/>
          <w:lang w:val="it-IT" w:eastAsia="en-US"/>
        </w:rPr>
        <w:t>, è emersa</w:t>
      </w:r>
      <w:r w:rsidR="003E3CD5" w:rsidRPr="003B0BFC">
        <w:rPr>
          <w:rFonts w:asciiTheme="minorHAnsi" w:eastAsiaTheme="minorHAnsi" w:hAnsiTheme="minorHAnsi" w:cstheme="minorHAnsi"/>
          <w:bCs/>
          <w:color w:val="000000"/>
          <w:sz w:val="22"/>
          <w:szCs w:val="22"/>
          <w:lang w:val="it-IT" w:eastAsia="en-US"/>
        </w:rPr>
        <w:t xml:space="preserve"> pertanto</w:t>
      </w:r>
      <w:r w:rsidRPr="003B0BFC">
        <w:rPr>
          <w:rFonts w:asciiTheme="minorHAnsi" w:eastAsiaTheme="minorHAnsi" w:hAnsiTheme="minorHAnsi" w:cstheme="minorHAnsi"/>
          <w:bCs/>
          <w:color w:val="000000"/>
          <w:sz w:val="22"/>
          <w:szCs w:val="22"/>
          <w:lang w:val="it-IT" w:eastAsia="en-US"/>
        </w:rPr>
        <w:t xml:space="preserve"> la necessità di procedere </w:t>
      </w:r>
      <w:r w:rsidR="00F14AD2" w:rsidRPr="003B0BFC">
        <w:rPr>
          <w:rFonts w:asciiTheme="minorHAnsi" w:eastAsiaTheme="minorHAnsi" w:hAnsiTheme="minorHAnsi" w:cstheme="minorHAnsi"/>
          <w:bCs/>
          <w:color w:val="000000"/>
          <w:sz w:val="22"/>
          <w:szCs w:val="22"/>
          <w:lang w:val="it-IT" w:eastAsia="en-US"/>
        </w:rPr>
        <w:t xml:space="preserve">nel corso del 2024 </w:t>
      </w:r>
      <w:r w:rsidR="001E5ABC" w:rsidRPr="00777626">
        <w:rPr>
          <w:rFonts w:asciiTheme="minorHAnsi" w:eastAsiaTheme="minorHAnsi" w:hAnsiTheme="minorHAnsi" w:cstheme="minorHAnsi"/>
          <w:bCs/>
          <w:color w:val="000000"/>
          <w:sz w:val="22"/>
          <w:szCs w:val="22"/>
          <w:lang w:val="it-IT" w:eastAsia="en-US"/>
        </w:rPr>
        <w:t>a</w:t>
      </w:r>
      <w:r w:rsidRPr="00777626">
        <w:rPr>
          <w:rFonts w:asciiTheme="minorHAnsi" w:eastAsiaTheme="minorHAnsi" w:hAnsiTheme="minorHAnsi" w:cstheme="minorHAnsi"/>
          <w:bCs/>
          <w:color w:val="000000"/>
          <w:sz w:val="22"/>
          <w:szCs w:val="22"/>
          <w:lang w:val="it-IT" w:eastAsia="en-US"/>
        </w:rPr>
        <w:t>d</w:t>
      </w:r>
      <w:r w:rsidR="001E5ABC" w:rsidRPr="00777626">
        <w:rPr>
          <w:rFonts w:asciiTheme="minorHAnsi" w:eastAsiaTheme="minorHAnsi" w:hAnsiTheme="minorHAnsi" w:cstheme="minorHAnsi"/>
          <w:bCs/>
          <w:color w:val="000000"/>
          <w:sz w:val="22"/>
          <w:szCs w:val="22"/>
          <w:lang w:val="it-IT" w:eastAsia="en-US"/>
        </w:rPr>
        <w:t xml:space="preserve"> una modifica ur</w:t>
      </w:r>
      <w:r w:rsidR="006115A7" w:rsidRPr="00777626">
        <w:rPr>
          <w:rFonts w:asciiTheme="minorHAnsi" w:eastAsiaTheme="minorHAnsi" w:hAnsiTheme="minorHAnsi" w:cstheme="minorHAnsi"/>
          <w:bCs/>
          <w:color w:val="000000"/>
          <w:sz w:val="22"/>
          <w:szCs w:val="22"/>
          <w:lang w:val="it-IT" w:eastAsia="en-US"/>
        </w:rPr>
        <w:t>gente della normativa italiana</w:t>
      </w:r>
      <w:r w:rsidRPr="00777626">
        <w:rPr>
          <w:rFonts w:asciiTheme="minorHAnsi" w:eastAsiaTheme="minorHAnsi" w:hAnsiTheme="minorHAnsi" w:cstheme="minorHAnsi"/>
          <w:bCs/>
          <w:color w:val="000000"/>
          <w:sz w:val="22"/>
          <w:szCs w:val="22"/>
          <w:lang w:val="it-IT" w:eastAsia="en-US"/>
        </w:rPr>
        <w:t>,</w:t>
      </w:r>
      <w:r w:rsidR="006115A7" w:rsidRPr="00777626">
        <w:rPr>
          <w:rFonts w:asciiTheme="minorHAnsi" w:eastAsiaTheme="minorHAnsi" w:hAnsiTheme="minorHAnsi" w:cstheme="minorHAnsi"/>
          <w:bCs/>
          <w:color w:val="000000"/>
          <w:sz w:val="22"/>
          <w:szCs w:val="22"/>
          <w:lang w:val="it-IT" w:eastAsia="en-US"/>
        </w:rPr>
        <w:t xml:space="preserve"> </w:t>
      </w:r>
      <w:r w:rsidR="0083610C" w:rsidRPr="00777626">
        <w:rPr>
          <w:rFonts w:asciiTheme="minorHAnsi" w:eastAsiaTheme="minorHAnsi" w:hAnsiTheme="minorHAnsi" w:cstheme="minorHAnsi"/>
          <w:bCs/>
          <w:color w:val="000000"/>
          <w:sz w:val="22"/>
          <w:szCs w:val="22"/>
          <w:lang w:val="it-IT" w:eastAsia="en-US"/>
        </w:rPr>
        <w:t>finalizzata ad aggiornare il quadro normativo di riferimento -armonizzandolo con quello europeo - e quindi</w:t>
      </w:r>
      <w:r w:rsidRPr="00777626">
        <w:rPr>
          <w:rFonts w:asciiTheme="minorHAnsi" w:eastAsiaTheme="minorHAnsi" w:hAnsiTheme="minorHAnsi" w:cstheme="minorHAnsi"/>
          <w:bCs/>
          <w:color w:val="000000"/>
          <w:sz w:val="22"/>
          <w:szCs w:val="22"/>
          <w:lang w:val="it-IT" w:eastAsia="en-US"/>
        </w:rPr>
        <w:t xml:space="preserve"> a disporre </w:t>
      </w:r>
      <w:r w:rsidR="001E5ABC" w:rsidRPr="00777626">
        <w:rPr>
          <w:rFonts w:asciiTheme="minorHAnsi" w:eastAsiaTheme="minorHAnsi" w:hAnsiTheme="minorHAnsi" w:cstheme="minorHAnsi"/>
          <w:bCs/>
          <w:color w:val="000000"/>
          <w:sz w:val="22"/>
          <w:szCs w:val="22"/>
          <w:lang w:val="it-IT" w:eastAsia="en-US"/>
        </w:rPr>
        <w:t xml:space="preserve">la sostituzione </w:t>
      </w:r>
      <w:r w:rsidR="006115A7" w:rsidRPr="00777626">
        <w:rPr>
          <w:rFonts w:asciiTheme="minorHAnsi" w:eastAsiaTheme="minorHAnsi" w:hAnsiTheme="minorHAnsi" w:cstheme="minorHAnsi"/>
          <w:bCs/>
          <w:color w:val="000000"/>
          <w:sz w:val="22"/>
          <w:szCs w:val="22"/>
          <w:lang w:val="it-IT" w:eastAsia="en-US"/>
        </w:rPr>
        <w:t xml:space="preserve">del bollino </w:t>
      </w:r>
      <w:r w:rsidRPr="00777626">
        <w:rPr>
          <w:rFonts w:asciiTheme="minorHAnsi" w:eastAsiaTheme="minorHAnsi" w:hAnsiTheme="minorHAnsi" w:cstheme="minorHAnsi"/>
          <w:bCs/>
          <w:color w:val="000000"/>
          <w:sz w:val="22"/>
          <w:szCs w:val="22"/>
          <w:lang w:val="it-IT" w:eastAsia="en-US"/>
        </w:rPr>
        <w:t xml:space="preserve">farmaceutico con </w:t>
      </w:r>
      <w:r w:rsidR="003A3834">
        <w:rPr>
          <w:rFonts w:asciiTheme="minorHAnsi" w:eastAsiaTheme="minorHAnsi" w:hAnsiTheme="minorHAnsi" w:cstheme="minorHAnsi"/>
          <w:bCs/>
          <w:color w:val="000000"/>
          <w:sz w:val="22"/>
          <w:szCs w:val="22"/>
          <w:lang w:val="it-IT" w:eastAsia="en-US"/>
        </w:rPr>
        <w:t>il sistema</w:t>
      </w:r>
      <w:r w:rsidRPr="00777626">
        <w:rPr>
          <w:rFonts w:asciiTheme="minorHAnsi" w:eastAsiaTheme="minorHAnsi" w:hAnsiTheme="minorHAnsi" w:cstheme="minorHAnsi"/>
          <w:bCs/>
          <w:color w:val="000000"/>
          <w:sz w:val="22"/>
          <w:szCs w:val="22"/>
          <w:lang w:val="it-IT" w:eastAsia="en-US"/>
        </w:rPr>
        <w:t xml:space="preserve"> europe</w:t>
      </w:r>
      <w:r w:rsidR="003A3834">
        <w:rPr>
          <w:rFonts w:asciiTheme="minorHAnsi" w:eastAsiaTheme="minorHAnsi" w:hAnsiTheme="minorHAnsi" w:cstheme="minorHAnsi"/>
          <w:bCs/>
          <w:color w:val="000000"/>
          <w:sz w:val="22"/>
          <w:szCs w:val="22"/>
          <w:lang w:val="it-IT" w:eastAsia="en-US"/>
        </w:rPr>
        <w:t>o</w:t>
      </w:r>
      <w:r w:rsidRPr="00777626">
        <w:rPr>
          <w:rFonts w:asciiTheme="minorHAnsi" w:eastAsiaTheme="minorHAnsi" w:hAnsiTheme="minorHAnsi" w:cstheme="minorHAnsi"/>
          <w:bCs/>
          <w:color w:val="000000"/>
          <w:sz w:val="22"/>
          <w:szCs w:val="22"/>
          <w:lang w:val="it-IT" w:eastAsia="en-US"/>
        </w:rPr>
        <w:t>,</w:t>
      </w:r>
      <w:r w:rsidR="001E5ABC" w:rsidRPr="00777626">
        <w:rPr>
          <w:rFonts w:asciiTheme="minorHAnsi" w:eastAsiaTheme="minorHAnsi" w:hAnsiTheme="minorHAnsi" w:cstheme="minorHAnsi"/>
          <w:bCs/>
          <w:color w:val="000000"/>
          <w:sz w:val="22"/>
          <w:szCs w:val="22"/>
          <w:lang w:val="it-IT" w:eastAsia="en-US"/>
        </w:rPr>
        <w:t xml:space="preserve"> </w:t>
      </w:r>
      <w:r w:rsidR="003C0682" w:rsidRPr="00777626">
        <w:rPr>
          <w:rFonts w:asciiTheme="minorHAnsi" w:eastAsiaTheme="minorHAnsi" w:hAnsiTheme="minorHAnsi" w:cstheme="minorHAnsi"/>
          <w:bCs/>
          <w:color w:val="000000"/>
          <w:sz w:val="22"/>
          <w:szCs w:val="22"/>
          <w:lang w:val="it-IT" w:eastAsia="en-US"/>
        </w:rPr>
        <w:t>salvaguardando</w:t>
      </w:r>
      <w:r w:rsidR="00831285" w:rsidRPr="00777626">
        <w:rPr>
          <w:rFonts w:asciiTheme="minorHAnsi" w:eastAsiaTheme="minorHAnsi" w:hAnsiTheme="minorHAnsi" w:cstheme="minorHAnsi"/>
          <w:bCs/>
          <w:color w:val="000000"/>
          <w:sz w:val="22"/>
          <w:szCs w:val="22"/>
          <w:lang w:val="it-IT" w:eastAsia="en-US"/>
        </w:rPr>
        <w:t xml:space="preserve"> al contempo</w:t>
      </w:r>
      <w:r w:rsidR="001E5ABC" w:rsidRPr="00777626">
        <w:rPr>
          <w:rFonts w:asciiTheme="minorHAnsi" w:eastAsiaTheme="minorHAnsi" w:hAnsiTheme="minorHAnsi" w:cstheme="minorHAnsi"/>
          <w:bCs/>
          <w:color w:val="000000"/>
          <w:sz w:val="22"/>
          <w:szCs w:val="22"/>
          <w:lang w:val="it-IT" w:eastAsia="en-US"/>
        </w:rPr>
        <w:t xml:space="preserve"> il </w:t>
      </w:r>
      <w:r w:rsidR="006115A7" w:rsidRPr="00777626">
        <w:rPr>
          <w:rFonts w:asciiTheme="minorHAnsi" w:eastAsiaTheme="minorHAnsi" w:hAnsiTheme="minorHAnsi" w:cstheme="minorHAnsi"/>
          <w:bCs/>
          <w:color w:val="000000"/>
          <w:sz w:val="22"/>
          <w:szCs w:val="22"/>
          <w:lang w:val="it-IT" w:eastAsia="en-US"/>
        </w:rPr>
        <w:t>manten</w:t>
      </w:r>
      <w:r w:rsidR="001E5ABC" w:rsidRPr="00777626">
        <w:rPr>
          <w:rFonts w:asciiTheme="minorHAnsi" w:eastAsiaTheme="minorHAnsi" w:hAnsiTheme="minorHAnsi" w:cstheme="minorHAnsi"/>
          <w:bCs/>
          <w:color w:val="000000"/>
          <w:sz w:val="22"/>
          <w:szCs w:val="22"/>
          <w:lang w:val="it-IT" w:eastAsia="en-US"/>
        </w:rPr>
        <w:t>iment</w:t>
      </w:r>
      <w:r w:rsidR="006115A7" w:rsidRPr="00777626">
        <w:rPr>
          <w:rFonts w:asciiTheme="minorHAnsi" w:eastAsiaTheme="minorHAnsi" w:hAnsiTheme="minorHAnsi" w:cstheme="minorHAnsi"/>
          <w:bCs/>
          <w:color w:val="000000"/>
          <w:sz w:val="22"/>
          <w:szCs w:val="22"/>
          <w:lang w:val="it-IT" w:eastAsia="en-US"/>
        </w:rPr>
        <w:t xml:space="preserve">o </w:t>
      </w:r>
      <w:r w:rsidR="00831285" w:rsidRPr="00777626">
        <w:rPr>
          <w:rFonts w:asciiTheme="minorHAnsi" w:eastAsiaTheme="minorHAnsi" w:hAnsiTheme="minorHAnsi" w:cstheme="minorHAnsi"/>
          <w:bCs/>
          <w:color w:val="000000"/>
          <w:sz w:val="22"/>
          <w:szCs w:val="22"/>
          <w:lang w:val="it-IT" w:eastAsia="en-US"/>
        </w:rPr>
        <w:t>de</w:t>
      </w:r>
      <w:r w:rsidR="006115A7" w:rsidRPr="00777626">
        <w:rPr>
          <w:rFonts w:asciiTheme="minorHAnsi" w:eastAsiaTheme="minorHAnsi" w:hAnsiTheme="minorHAnsi" w:cstheme="minorHAnsi"/>
          <w:bCs/>
          <w:color w:val="000000"/>
          <w:sz w:val="22"/>
          <w:szCs w:val="22"/>
          <w:lang w:val="it-IT" w:eastAsia="en-US"/>
        </w:rPr>
        <w:t>l flusso informativo</w:t>
      </w:r>
      <w:r w:rsidR="00831285" w:rsidRPr="00777626">
        <w:rPr>
          <w:rFonts w:asciiTheme="minorHAnsi" w:eastAsiaTheme="minorHAnsi" w:hAnsiTheme="minorHAnsi" w:cstheme="minorHAnsi"/>
          <w:bCs/>
          <w:color w:val="000000"/>
          <w:sz w:val="22"/>
          <w:szCs w:val="22"/>
          <w:lang w:val="it-IT" w:eastAsia="en-US"/>
        </w:rPr>
        <w:t xml:space="preserve"> </w:t>
      </w:r>
      <w:r w:rsidR="00520AC8" w:rsidRPr="00777626">
        <w:rPr>
          <w:rFonts w:asciiTheme="minorHAnsi" w:eastAsiaTheme="minorHAnsi" w:hAnsiTheme="minorHAnsi" w:cstheme="minorHAnsi"/>
          <w:bCs/>
          <w:color w:val="000000"/>
          <w:sz w:val="22"/>
          <w:szCs w:val="22"/>
          <w:lang w:val="it-IT" w:eastAsia="en-US"/>
        </w:rPr>
        <w:t>necessari</w:t>
      </w:r>
      <w:r w:rsidRPr="00777626">
        <w:rPr>
          <w:rFonts w:asciiTheme="minorHAnsi" w:eastAsiaTheme="minorHAnsi" w:hAnsiTheme="minorHAnsi" w:cstheme="minorHAnsi"/>
          <w:bCs/>
          <w:color w:val="000000"/>
          <w:sz w:val="22"/>
          <w:szCs w:val="22"/>
          <w:lang w:val="it-IT" w:eastAsia="en-US"/>
        </w:rPr>
        <w:t>o</w:t>
      </w:r>
      <w:r w:rsidR="00520AC8" w:rsidRPr="00777626">
        <w:rPr>
          <w:rFonts w:asciiTheme="minorHAnsi" w:eastAsiaTheme="minorHAnsi" w:hAnsiTheme="minorHAnsi" w:cstheme="minorHAnsi"/>
          <w:bCs/>
          <w:color w:val="000000"/>
          <w:sz w:val="22"/>
          <w:szCs w:val="22"/>
          <w:lang w:val="it-IT" w:eastAsia="en-US"/>
        </w:rPr>
        <w:t xml:space="preserve"> al Ministero della salute</w:t>
      </w:r>
      <w:r w:rsidR="00F14AD2">
        <w:rPr>
          <w:rFonts w:asciiTheme="minorHAnsi" w:eastAsiaTheme="minorHAnsi" w:hAnsiTheme="minorHAnsi" w:cstheme="minorHAnsi"/>
          <w:bCs/>
          <w:color w:val="000000"/>
          <w:sz w:val="22"/>
          <w:szCs w:val="22"/>
          <w:lang w:val="it-IT" w:eastAsia="en-US"/>
        </w:rPr>
        <w:t>,</w:t>
      </w:r>
      <w:r w:rsidR="00520AC8" w:rsidRPr="00777626">
        <w:rPr>
          <w:rFonts w:asciiTheme="minorHAnsi" w:eastAsiaTheme="minorHAnsi" w:hAnsiTheme="minorHAnsi" w:cstheme="minorHAnsi"/>
          <w:bCs/>
          <w:color w:val="000000"/>
          <w:sz w:val="22"/>
          <w:szCs w:val="22"/>
          <w:lang w:val="it-IT" w:eastAsia="en-US"/>
        </w:rPr>
        <w:t xml:space="preserve"> anche per il monitoraggio e controllo della spesa farmaceutica.</w:t>
      </w:r>
      <w:r w:rsidR="000B5DC7" w:rsidRPr="00777626">
        <w:rPr>
          <w:rFonts w:asciiTheme="minorHAnsi" w:eastAsiaTheme="minorHAnsi" w:hAnsiTheme="minorHAnsi" w:cstheme="minorHAnsi"/>
          <w:bCs/>
          <w:color w:val="000000"/>
          <w:sz w:val="22"/>
          <w:szCs w:val="22"/>
          <w:lang w:val="it-IT" w:eastAsia="en-US"/>
        </w:rPr>
        <w:t xml:space="preserve"> </w:t>
      </w:r>
    </w:p>
    <w:p w14:paraId="42C85DCC" w14:textId="6103CD53" w:rsidR="00F14AD2" w:rsidRDefault="001A5773" w:rsidP="001A5773">
      <w:pPr>
        <w:pStyle w:val="NormaleWeb"/>
        <w:spacing w:before="0" w:beforeAutospacing="0" w:after="0" w:afterAutospacing="0"/>
        <w:jc w:val="both"/>
        <w:rPr>
          <w:rFonts w:asciiTheme="minorHAnsi" w:eastAsiaTheme="minorHAnsi" w:hAnsiTheme="minorHAnsi" w:cstheme="minorHAnsi"/>
          <w:bCs/>
          <w:color w:val="000000"/>
          <w:sz w:val="22"/>
          <w:szCs w:val="22"/>
          <w:lang w:val="it-IT" w:eastAsia="en-US"/>
        </w:rPr>
      </w:pPr>
      <w:r>
        <w:rPr>
          <w:rFonts w:asciiTheme="minorHAnsi" w:eastAsiaTheme="minorHAnsi" w:hAnsiTheme="minorHAnsi" w:cstheme="minorHAnsi"/>
          <w:bCs/>
          <w:color w:val="000000"/>
          <w:sz w:val="22"/>
          <w:szCs w:val="22"/>
          <w:lang w:val="it-IT" w:eastAsia="en-US"/>
        </w:rPr>
        <w:t>T</w:t>
      </w:r>
      <w:r w:rsidR="000B5DC7" w:rsidRPr="00777626">
        <w:rPr>
          <w:rFonts w:asciiTheme="minorHAnsi" w:eastAsiaTheme="minorHAnsi" w:hAnsiTheme="minorHAnsi" w:cstheme="minorHAnsi"/>
          <w:bCs/>
          <w:color w:val="000000"/>
          <w:sz w:val="22"/>
          <w:szCs w:val="22"/>
          <w:lang w:val="it-IT" w:eastAsia="en-US"/>
        </w:rPr>
        <w:t>ale armonizzazione è stata attuata attraverso due fasi normativ</w:t>
      </w:r>
      <w:r w:rsidR="00AD3264" w:rsidRPr="00777626">
        <w:rPr>
          <w:rFonts w:asciiTheme="minorHAnsi" w:eastAsiaTheme="minorHAnsi" w:hAnsiTheme="minorHAnsi" w:cstheme="minorHAnsi"/>
          <w:bCs/>
          <w:color w:val="000000"/>
          <w:sz w:val="22"/>
          <w:szCs w:val="22"/>
          <w:lang w:val="it-IT" w:eastAsia="en-US"/>
        </w:rPr>
        <w:t>e</w:t>
      </w:r>
      <w:r w:rsidR="000B5DC7" w:rsidRPr="00777626">
        <w:rPr>
          <w:rFonts w:asciiTheme="minorHAnsi" w:eastAsiaTheme="minorHAnsi" w:hAnsiTheme="minorHAnsi" w:cstheme="minorHAnsi"/>
          <w:bCs/>
          <w:color w:val="000000"/>
          <w:sz w:val="22"/>
          <w:szCs w:val="22"/>
          <w:lang w:val="it-IT" w:eastAsia="en-US"/>
        </w:rPr>
        <w:t xml:space="preserve">. </w:t>
      </w:r>
    </w:p>
    <w:p w14:paraId="742315E6" w14:textId="77777777" w:rsidR="00F14AD2" w:rsidRDefault="00F14AD2" w:rsidP="001A5773">
      <w:pPr>
        <w:pStyle w:val="NormaleWeb"/>
        <w:spacing w:before="0" w:beforeAutospacing="0" w:after="0" w:afterAutospacing="0"/>
        <w:jc w:val="both"/>
        <w:rPr>
          <w:rFonts w:asciiTheme="minorHAnsi" w:eastAsiaTheme="minorHAnsi" w:hAnsiTheme="minorHAnsi" w:cstheme="minorHAnsi"/>
          <w:bCs/>
          <w:color w:val="000000"/>
          <w:sz w:val="22"/>
          <w:szCs w:val="22"/>
          <w:lang w:val="it-IT" w:eastAsia="en-US"/>
        </w:rPr>
      </w:pPr>
    </w:p>
    <w:p w14:paraId="2F9F8E56" w14:textId="75E9A333" w:rsidR="00F14AD2" w:rsidRDefault="000B5DC7" w:rsidP="001A5773">
      <w:pPr>
        <w:pStyle w:val="NormaleWeb"/>
        <w:spacing w:before="0" w:beforeAutospacing="0" w:after="0" w:afterAutospacing="0"/>
        <w:jc w:val="both"/>
        <w:rPr>
          <w:rFonts w:asciiTheme="minorHAnsi" w:eastAsiaTheme="minorHAnsi" w:hAnsiTheme="minorHAnsi" w:cstheme="minorHAnsi"/>
          <w:bCs/>
          <w:color w:val="000000"/>
          <w:sz w:val="22"/>
          <w:szCs w:val="22"/>
          <w:lang w:val="it-IT" w:eastAsia="en-US"/>
        </w:rPr>
      </w:pPr>
      <w:r w:rsidRPr="003B0BFC">
        <w:rPr>
          <w:rFonts w:asciiTheme="minorHAnsi" w:eastAsiaTheme="minorHAnsi" w:hAnsiTheme="minorHAnsi" w:cstheme="minorHAnsi"/>
          <w:bCs/>
          <w:color w:val="000000"/>
          <w:sz w:val="22"/>
          <w:szCs w:val="22"/>
          <w:lang w:val="it-IT" w:eastAsia="en-US"/>
        </w:rPr>
        <w:t xml:space="preserve">Una prima </w:t>
      </w:r>
      <w:r w:rsidR="00F14AD2" w:rsidRPr="003B0BFC">
        <w:rPr>
          <w:rFonts w:asciiTheme="minorHAnsi" w:eastAsiaTheme="minorHAnsi" w:hAnsiTheme="minorHAnsi" w:cstheme="minorHAnsi"/>
          <w:bCs/>
          <w:color w:val="000000"/>
          <w:sz w:val="22"/>
          <w:szCs w:val="22"/>
          <w:lang w:val="it-IT" w:eastAsia="en-US"/>
        </w:rPr>
        <w:t>fase</w:t>
      </w:r>
      <w:r w:rsidR="00F14AD2">
        <w:rPr>
          <w:rFonts w:asciiTheme="minorHAnsi" w:eastAsiaTheme="minorHAnsi" w:hAnsiTheme="minorHAnsi" w:cstheme="minorHAnsi"/>
          <w:bCs/>
          <w:color w:val="000000"/>
          <w:sz w:val="22"/>
          <w:szCs w:val="22"/>
          <w:lang w:val="it-IT" w:eastAsia="en-US"/>
        </w:rPr>
        <w:t xml:space="preserve"> </w:t>
      </w:r>
      <w:r w:rsidRPr="003B0BFC">
        <w:rPr>
          <w:rFonts w:asciiTheme="minorHAnsi" w:eastAsiaTheme="minorHAnsi" w:hAnsiTheme="minorHAnsi" w:cstheme="minorHAnsi"/>
          <w:bCs/>
          <w:color w:val="000000"/>
          <w:sz w:val="22"/>
          <w:szCs w:val="22"/>
          <w:lang w:val="it-IT" w:eastAsia="en-US"/>
        </w:rPr>
        <w:t xml:space="preserve">è stata realizzata </w:t>
      </w:r>
      <w:r w:rsidR="00AD3264" w:rsidRPr="003B0BFC">
        <w:rPr>
          <w:rFonts w:asciiTheme="minorHAnsi" w:eastAsiaTheme="minorHAnsi" w:hAnsiTheme="minorHAnsi" w:cstheme="minorHAnsi"/>
          <w:bCs/>
          <w:color w:val="000000"/>
          <w:sz w:val="22"/>
          <w:szCs w:val="22"/>
          <w:lang w:val="it-IT" w:eastAsia="en-US"/>
        </w:rPr>
        <w:t xml:space="preserve">con </w:t>
      </w:r>
      <w:r w:rsidRPr="003B0BFC">
        <w:rPr>
          <w:rFonts w:asciiTheme="minorHAnsi" w:eastAsiaTheme="minorHAnsi" w:hAnsiTheme="minorHAnsi" w:cstheme="minorHAnsi"/>
          <w:bCs/>
          <w:color w:val="000000"/>
          <w:sz w:val="22"/>
          <w:szCs w:val="22"/>
          <w:lang w:val="it-IT" w:eastAsia="en-US"/>
        </w:rPr>
        <w:t>la</w:t>
      </w:r>
      <w:r w:rsidR="00F14AD2">
        <w:rPr>
          <w:rFonts w:asciiTheme="minorHAnsi" w:eastAsiaTheme="minorHAnsi" w:hAnsiTheme="minorHAnsi" w:cstheme="minorHAnsi"/>
          <w:bCs/>
          <w:color w:val="000000"/>
          <w:sz w:val="22"/>
          <w:szCs w:val="22"/>
          <w:lang w:val="it-IT" w:eastAsia="en-US"/>
        </w:rPr>
        <w:t xml:space="preserve"> pubblicazione in Gazzetta Ufficiale della</w:t>
      </w:r>
      <w:r w:rsidRPr="003B0BFC">
        <w:rPr>
          <w:rFonts w:asciiTheme="minorHAnsi" w:eastAsiaTheme="minorHAnsi" w:hAnsiTheme="minorHAnsi" w:cstheme="minorHAnsi"/>
          <w:bCs/>
          <w:color w:val="000000"/>
          <w:sz w:val="22"/>
          <w:szCs w:val="22"/>
          <w:lang w:val="it-IT" w:eastAsia="en-US"/>
        </w:rPr>
        <w:t xml:space="preserve"> Legge di</w:t>
      </w:r>
      <w:r w:rsidRPr="00777626">
        <w:rPr>
          <w:rFonts w:asciiTheme="minorHAnsi" w:eastAsiaTheme="minorHAnsi" w:hAnsiTheme="minorHAnsi" w:cstheme="minorHAnsi"/>
          <w:bCs/>
          <w:color w:val="000000"/>
          <w:sz w:val="22"/>
          <w:szCs w:val="22"/>
          <w:lang w:val="it-IT" w:eastAsia="en-US"/>
        </w:rPr>
        <w:t xml:space="preserve"> 21 febbraio 2024, n. 15, recante «</w:t>
      </w:r>
      <w:r w:rsidRPr="006C6379">
        <w:rPr>
          <w:rFonts w:asciiTheme="minorHAnsi" w:eastAsiaTheme="minorHAnsi" w:hAnsiTheme="minorHAnsi" w:cstheme="minorHAnsi"/>
          <w:bCs/>
          <w:i/>
          <w:iCs/>
          <w:color w:val="000000"/>
          <w:sz w:val="22"/>
          <w:szCs w:val="22"/>
          <w:lang w:val="it-IT" w:eastAsia="en-US"/>
        </w:rPr>
        <w:t>Delega al Governo per il recepimento delle direttive europee e l'attuazione di altri atti dell'Unione europea – Legge di delegazione europea 2022-2023</w:t>
      </w:r>
      <w:r w:rsidRPr="00777626">
        <w:rPr>
          <w:rFonts w:asciiTheme="minorHAnsi" w:eastAsiaTheme="minorHAnsi" w:hAnsiTheme="minorHAnsi" w:cstheme="minorHAnsi"/>
          <w:bCs/>
          <w:color w:val="000000"/>
          <w:sz w:val="22"/>
          <w:szCs w:val="22"/>
          <w:lang w:val="it-IT" w:eastAsia="en-US"/>
        </w:rPr>
        <w:t xml:space="preserve">», </w:t>
      </w:r>
      <w:r w:rsidR="00AD3264" w:rsidRPr="00777626">
        <w:rPr>
          <w:rFonts w:asciiTheme="minorHAnsi" w:eastAsiaTheme="minorHAnsi" w:hAnsiTheme="minorHAnsi" w:cstheme="minorHAnsi"/>
          <w:bCs/>
          <w:color w:val="000000"/>
          <w:sz w:val="22"/>
          <w:szCs w:val="22"/>
          <w:lang w:val="it-IT" w:eastAsia="en-US"/>
        </w:rPr>
        <w:t>il cui</w:t>
      </w:r>
      <w:r w:rsidRPr="00777626">
        <w:rPr>
          <w:rFonts w:asciiTheme="minorHAnsi" w:eastAsiaTheme="minorHAnsi" w:hAnsiTheme="minorHAnsi" w:cstheme="minorHAnsi"/>
          <w:bCs/>
          <w:color w:val="000000"/>
          <w:sz w:val="22"/>
          <w:szCs w:val="22"/>
          <w:lang w:val="it-IT" w:eastAsia="en-US"/>
        </w:rPr>
        <w:t xml:space="preserve"> l'articolo 6 ha delegato il Governo ad adottare</w:t>
      </w:r>
      <w:r w:rsidR="006C6379">
        <w:rPr>
          <w:rFonts w:asciiTheme="minorHAnsi" w:eastAsiaTheme="minorHAnsi" w:hAnsiTheme="minorHAnsi" w:cstheme="minorHAnsi"/>
          <w:bCs/>
          <w:color w:val="000000"/>
          <w:sz w:val="22"/>
          <w:szCs w:val="22"/>
          <w:lang w:val="it-IT" w:eastAsia="en-US"/>
        </w:rPr>
        <w:t xml:space="preserve"> </w:t>
      </w:r>
      <w:r w:rsidRPr="00777626">
        <w:rPr>
          <w:rFonts w:asciiTheme="minorHAnsi" w:eastAsiaTheme="minorHAnsi" w:hAnsiTheme="minorHAnsi" w:cstheme="minorHAnsi"/>
          <w:bCs/>
          <w:color w:val="000000"/>
          <w:sz w:val="22"/>
          <w:szCs w:val="22"/>
          <w:lang w:val="it-IT" w:eastAsia="en-US"/>
        </w:rPr>
        <w:t xml:space="preserve">uno o più decreti legislativi per l'adeguamento della normativa nazionale alle disposizioni del Regolamento, </w:t>
      </w:r>
      <w:r w:rsidR="00F14AD2">
        <w:rPr>
          <w:rFonts w:asciiTheme="minorHAnsi" w:eastAsiaTheme="minorHAnsi" w:hAnsiTheme="minorHAnsi" w:cstheme="minorHAnsi"/>
          <w:bCs/>
          <w:color w:val="000000"/>
          <w:sz w:val="22"/>
          <w:szCs w:val="22"/>
          <w:lang w:val="it-IT" w:eastAsia="en-US"/>
        </w:rPr>
        <w:t>sulla base</w:t>
      </w:r>
      <w:r w:rsidRPr="00777626">
        <w:rPr>
          <w:rFonts w:asciiTheme="minorHAnsi" w:eastAsiaTheme="minorHAnsi" w:hAnsiTheme="minorHAnsi" w:cstheme="minorHAnsi"/>
          <w:bCs/>
          <w:color w:val="000000"/>
          <w:sz w:val="22"/>
          <w:szCs w:val="22"/>
          <w:lang w:val="it-IT" w:eastAsia="en-US"/>
        </w:rPr>
        <w:t xml:space="preserve"> di principi e criteri direttivi specifici ed</w:t>
      </w:r>
      <w:r w:rsidR="00F14AD2">
        <w:rPr>
          <w:rFonts w:asciiTheme="minorHAnsi" w:eastAsiaTheme="minorHAnsi" w:hAnsiTheme="minorHAnsi" w:cstheme="minorHAnsi"/>
          <w:bCs/>
          <w:color w:val="000000"/>
          <w:sz w:val="22"/>
          <w:szCs w:val="22"/>
          <w:lang w:val="it-IT" w:eastAsia="en-US"/>
        </w:rPr>
        <w:t>,</w:t>
      </w:r>
      <w:r w:rsidRPr="00777626">
        <w:rPr>
          <w:rFonts w:asciiTheme="minorHAnsi" w:eastAsiaTheme="minorHAnsi" w:hAnsiTheme="minorHAnsi" w:cstheme="minorHAnsi"/>
          <w:bCs/>
          <w:color w:val="000000"/>
          <w:sz w:val="22"/>
          <w:szCs w:val="22"/>
          <w:lang w:val="it-IT" w:eastAsia="en-US"/>
        </w:rPr>
        <w:t xml:space="preserve"> in particolare</w:t>
      </w:r>
      <w:r w:rsidR="004D7C91" w:rsidRPr="00777626">
        <w:rPr>
          <w:rStyle w:val="Rimandonotaapidipagina"/>
          <w:rFonts w:asciiTheme="minorHAnsi" w:eastAsiaTheme="minorHAnsi" w:hAnsiTheme="minorHAnsi" w:cstheme="minorHAnsi"/>
          <w:bCs/>
          <w:color w:val="000000"/>
          <w:sz w:val="22"/>
          <w:szCs w:val="22"/>
          <w:lang w:val="it-IT" w:eastAsia="en-US"/>
        </w:rPr>
        <w:footnoteReference w:id="4"/>
      </w:r>
      <w:r w:rsidR="00F14AD2">
        <w:rPr>
          <w:rFonts w:asciiTheme="minorHAnsi" w:eastAsiaTheme="minorHAnsi" w:hAnsiTheme="minorHAnsi" w:cstheme="minorHAnsi"/>
          <w:bCs/>
          <w:color w:val="000000"/>
          <w:sz w:val="22"/>
          <w:szCs w:val="22"/>
          <w:lang w:val="it-IT" w:eastAsia="en-US"/>
        </w:rPr>
        <w:t>,</w:t>
      </w:r>
      <w:r w:rsidR="004D7C91" w:rsidRPr="00777626">
        <w:rPr>
          <w:rFonts w:asciiTheme="minorHAnsi" w:eastAsiaTheme="minorHAnsi" w:hAnsiTheme="minorHAnsi" w:cstheme="minorHAnsi"/>
          <w:bCs/>
          <w:color w:val="000000"/>
          <w:sz w:val="22"/>
          <w:szCs w:val="22"/>
          <w:lang w:val="it-IT" w:eastAsia="en-US"/>
        </w:rPr>
        <w:t xml:space="preserve"> l</w:t>
      </w:r>
      <w:r w:rsidR="00F14AD2">
        <w:rPr>
          <w:rFonts w:asciiTheme="minorHAnsi" w:eastAsiaTheme="minorHAnsi" w:hAnsiTheme="minorHAnsi" w:cstheme="minorHAnsi"/>
          <w:bCs/>
          <w:color w:val="000000"/>
          <w:sz w:val="22"/>
          <w:szCs w:val="22"/>
          <w:lang w:val="it-IT" w:eastAsia="en-US"/>
        </w:rPr>
        <w:t xml:space="preserve">’introduzione di misure </w:t>
      </w:r>
      <w:r w:rsidR="004D7C91" w:rsidRPr="00777626">
        <w:rPr>
          <w:rFonts w:asciiTheme="minorHAnsi" w:eastAsiaTheme="minorHAnsi" w:hAnsiTheme="minorHAnsi" w:cstheme="minorHAnsi"/>
          <w:bCs/>
          <w:color w:val="000000"/>
          <w:sz w:val="22"/>
          <w:szCs w:val="22"/>
          <w:lang w:val="it-IT" w:eastAsia="en-US"/>
        </w:rPr>
        <w:t>che</w:t>
      </w:r>
      <w:r w:rsidR="00B353E1" w:rsidRPr="00777626">
        <w:rPr>
          <w:rFonts w:asciiTheme="minorHAnsi" w:eastAsiaTheme="minorHAnsi" w:hAnsiTheme="minorHAnsi" w:cstheme="minorHAnsi"/>
          <w:bCs/>
          <w:color w:val="000000"/>
          <w:sz w:val="22"/>
          <w:szCs w:val="22"/>
          <w:lang w:val="it-IT" w:eastAsia="en-US"/>
        </w:rPr>
        <w:t xml:space="preserve"> </w:t>
      </w:r>
      <w:r w:rsidR="00F14AD2">
        <w:rPr>
          <w:rFonts w:asciiTheme="minorHAnsi" w:eastAsiaTheme="minorHAnsi" w:hAnsiTheme="minorHAnsi" w:cstheme="minorHAnsi"/>
          <w:bCs/>
          <w:color w:val="000000"/>
          <w:sz w:val="22"/>
          <w:szCs w:val="22"/>
          <w:lang w:val="it-IT" w:eastAsia="en-US"/>
        </w:rPr>
        <w:t>consentano</w:t>
      </w:r>
      <w:r w:rsidR="004D7C91" w:rsidRPr="00777626">
        <w:rPr>
          <w:rFonts w:asciiTheme="minorHAnsi" w:eastAsiaTheme="minorHAnsi" w:hAnsiTheme="minorHAnsi" w:cstheme="minorHAnsi"/>
          <w:bCs/>
          <w:i/>
          <w:iCs/>
          <w:color w:val="000000"/>
          <w:sz w:val="22"/>
          <w:szCs w:val="22"/>
          <w:lang w:val="it-IT" w:eastAsia="en-US"/>
        </w:rPr>
        <w:t xml:space="preserve">, </w:t>
      </w:r>
      <w:r w:rsidR="004D7C91" w:rsidRPr="00777626">
        <w:rPr>
          <w:rFonts w:asciiTheme="minorHAnsi" w:eastAsiaTheme="minorHAnsi" w:hAnsiTheme="minorHAnsi" w:cstheme="minorHAnsi"/>
          <w:bCs/>
          <w:color w:val="000000"/>
          <w:sz w:val="22"/>
          <w:szCs w:val="22"/>
          <w:lang w:val="it-IT" w:eastAsia="en-US"/>
        </w:rPr>
        <w:t>entro il 9 febbraio 2025</w:t>
      </w:r>
      <w:r w:rsidR="00F14AD2">
        <w:rPr>
          <w:rFonts w:asciiTheme="minorHAnsi" w:eastAsiaTheme="minorHAnsi" w:hAnsiTheme="minorHAnsi" w:cstheme="minorHAnsi"/>
          <w:bCs/>
          <w:color w:val="000000"/>
          <w:sz w:val="22"/>
          <w:szCs w:val="22"/>
          <w:lang w:val="it-IT" w:eastAsia="en-US"/>
        </w:rPr>
        <w:t>:</w:t>
      </w:r>
    </w:p>
    <w:p w14:paraId="14E9F2B6" w14:textId="77777777" w:rsidR="00F14AD2" w:rsidRDefault="00F14AD2" w:rsidP="001A5773">
      <w:pPr>
        <w:pStyle w:val="NormaleWeb"/>
        <w:spacing w:before="0" w:beforeAutospacing="0" w:after="0" w:afterAutospacing="0"/>
        <w:jc w:val="both"/>
        <w:rPr>
          <w:rFonts w:asciiTheme="minorHAnsi" w:eastAsiaTheme="minorHAnsi" w:hAnsiTheme="minorHAnsi" w:cstheme="minorHAnsi"/>
          <w:bCs/>
          <w:color w:val="000000"/>
          <w:sz w:val="22"/>
          <w:szCs w:val="22"/>
          <w:lang w:val="it-IT" w:eastAsia="en-US"/>
        </w:rPr>
      </w:pPr>
    </w:p>
    <w:p w14:paraId="426E4427" w14:textId="77777777" w:rsidR="00F14AD2" w:rsidRPr="00777626" w:rsidRDefault="004D7C91" w:rsidP="00F14AD2">
      <w:pPr>
        <w:pStyle w:val="NormaleWeb"/>
        <w:numPr>
          <w:ilvl w:val="0"/>
          <w:numId w:val="20"/>
        </w:numPr>
        <w:spacing w:before="0" w:beforeAutospacing="0" w:after="0" w:afterAutospacing="0"/>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l'apposizione dell'identificativo univoco e del</w:t>
      </w:r>
      <w:r w:rsidR="00F14AD2">
        <w:rPr>
          <w:rFonts w:asciiTheme="minorHAnsi" w:eastAsiaTheme="minorHAnsi" w:hAnsiTheme="minorHAnsi" w:cstheme="minorHAnsi"/>
          <w:bCs/>
          <w:color w:val="000000"/>
          <w:sz w:val="22"/>
          <w:szCs w:val="22"/>
          <w:lang w:val="it-IT" w:eastAsia="en-US"/>
        </w:rPr>
        <w:t xml:space="preserve"> </w:t>
      </w:r>
      <w:r w:rsidR="00F14AD2" w:rsidRPr="00F14AD2">
        <w:rPr>
          <w:rFonts w:asciiTheme="minorHAnsi" w:eastAsiaTheme="minorHAnsi" w:hAnsiTheme="minorHAnsi" w:cstheme="minorHAnsi"/>
          <w:bCs/>
          <w:color w:val="000000"/>
          <w:sz w:val="22"/>
          <w:szCs w:val="22"/>
          <w:lang w:val="it-IT" w:eastAsia="en-US"/>
        </w:rPr>
        <w:t>sistema di prevenzione delle manomissioni</w:t>
      </w:r>
      <w:r w:rsidRPr="00777626">
        <w:rPr>
          <w:rFonts w:asciiTheme="minorHAnsi" w:eastAsiaTheme="minorHAnsi" w:hAnsiTheme="minorHAnsi" w:cstheme="minorHAnsi"/>
          <w:bCs/>
          <w:color w:val="000000"/>
          <w:sz w:val="22"/>
          <w:szCs w:val="22"/>
          <w:lang w:val="it-IT" w:eastAsia="en-US"/>
        </w:rPr>
        <w:t xml:space="preserve"> sulle confezioni dei medicinali, garantendo all</w:t>
      </w:r>
      <w:r w:rsidR="00F14AD2">
        <w:rPr>
          <w:rFonts w:asciiTheme="minorHAnsi" w:eastAsiaTheme="minorHAnsi" w:hAnsiTheme="minorHAnsi" w:cstheme="minorHAnsi"/>
          <w:bCs/>
          <w:color w:val="000000"/>
          <w:sz w:val="22"/>
          <w:szCs w:val="22"/>
          <w:lang w:val="it-IT" w:eastAsia="en-US"/>
        </w:rPr>
        <w:t>o stesso tempo all</w:t>
      </w:r>
      <w:r w:rsidRPr="00777626">
        <w:rPr>
          <w:rFonts w:asciiTheme="minorHAnsi" w:eastAsiaTheme="minorHAnsi" w:hAnsiTheme="minorHAnsi" w:cstheme="minorHAnsi"/>
          <w:bCs/>
          <w:color w:val="000000"/>
          <w:sz w:val="22"/>
          <w:szCs w:val="22"/>
          <w:lang w:val="it-IT" w:eastAsia="en-US"/>
        </w:rPr>
        <w:t xml:space="preserve">e aziende </w:t>
      </w:r>
      <w:r w:rsidR="00F14AD2">
        <w:rPr>
          <w:rFonts w:asciiTheme="minorHAnsi" w:eastAsiaTheme="minorHAnsi" w:hAnsiTheme="minorHAnsi" w:cstheme="minorHAnsi"/>
          <w:bCs/>
          <w:color w:val="000000"/>
          <w:sz w:val="22"/>
          <w:szCs w:val="22"/>
          <w:lang w:val="it-IT" w:eastAsia="en-US"/>
        </w:rPr>
        <w:t>farmaceutiche</w:t>
      </w:r>
      <w:r w:rsidR="00B353E1" w:rsidRPr="00777626">
        <w:rPr>
          <w:rFonts w:asciiTheme="minorHAnsi" w:eastAsiaTheme="minorHAnsi" w:hAnsiTheme="minorHAnsi" w:cstheme="minorHAnsi"/>
          <w:bCs/>
          <w:color w:val="000000"/>
          <w:sz w:val="22"/>
          <w:szCs w:val="22"/>
          <w:lang w:val="it-IT" w:eastAsia="en-US"/>
        </w:rPr>
        <w:t xml:space="preserve"> </w:t>
      </w:r>
      <w:r w:rsidRPr="00777626">
        <w:rPr>
          <w:rFonts w:asciiTheme="minorHAnsi" w:eastAsiaTheme="minorHAnsi" w:hAnsiTheme="minorHAnsi" w:cstheme="minorHAnsi"/>
          <w:bCs/>
          <w:color w:val="000000"/>
          <w:sz w:val="22"/>
          <w:szCs w:val="22"/>
          <w:lang w:val="it-IT" w:eastAsia="en-US"/>
        </w:rPr>
        <w:t>congrui tempi di adeguamento alla normativa per l'aggiornamento dello stato tecnologico delle medesime imprese</w:t>
      </w:r>
      <w:r w:rsidR="00B353E1" w:rsidRPr="00777626">
        <w:rPr>
          <w:rFonts w:asciiTheme="minorHAnsi" w:eastAsiaTheme="minorHAnsi" w:hAnsiTheme="minorHAnsi" w:cstheme="minorHAnsi"/>
          <w:bCs/>
          <w:color w:val="000000"/>
          <w:sz w:val="22"/>
          <w:szCs w:val="22"/>
          <w:lang w:val="it-IT" w:eastAsia="en-US"/>
        </w:rPr>
        <w:t xml:space="preserve">, pur sempre nel rispetto del termine del 9 febbraio 2025; </w:t>
      </w:r>
    </w:p>
    <w:p w14:paraId="09861F7B" w14:textId="77777777" w:rsidR="006C6379" w:rsidRDefault="004D7C91" w:rsidP="006C6379">
      <w:pPr>
        <w:pStyle w:val="NormaleWeb"/>
        <w:numPr>
          <w:ilvl w:val="0"/>
          <w:numId w:val="20"/>
        </w:numPr>
        <w:spacing w:before="0" w:beforeAutospacing="0" w:after="0" w:afterAutospacing="0"/>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 xml:space="preserve">l’adeguamento del </w:t>
      </w:r>
      <w:r w:rsidRPr="00777626">
        <w:rPr>
          <w:rFonts w:asciiTheme="minorHAnsi" w:eastAsiaTheme="minorHAnsi" w:hAnsiTheme="minorHAnsi" w:cstheme="minorHAnsi"/>
          <w:bCs/>
          <w:i/>
          <w:iCs/>
          <w:color w:val="000000"/>
          <w:sz w:val="22"/>
          <w:szCs w:val="22"/>
          <w:lang w:val="it-IT" w:eastAsia="en-US"/>
        </w:rPr>
        <w:t xml:space="preserve">framework </w:t>
      </w:r>
      <w:r w:rsidRPr="00777626">
        <w:rPr>
          <w:rFonts w:asciiTheme="minorHAnsi" w:eastAsiaTheme="minorHAnsi" w:hAnsiTheme="minorHAnsi" w:cstheme="minorHAnsi"/>
          <w:bCs/>
          <w:color w:val="000000"/>
          <w:sz w:val="22"/>
          <w:szCs w:val="22"/>
          <w:lang w:val="it-IT" w:eastAsia="en-US"/>
        </w:rPr>
        <w:t xml:space="preserve">normativo </w:t>
      </w:r>
      <w:r w:rsidR="00B353E1" w:rsidRPr="00777626">
        <w:rPr>
          <w:rFonts w:asciiTheme="minorHAnsi" w:eastAsiaTheme="minorHAnsi" w:hAnsiTheme="minorHAnsi" w:cstheme="minorHAnsi"/>
          <w:bCs/>
          <w:color w:val="000000"/>
          <w:sz w:val="22"/>
          <w:szCs w:val="22"/>
          <w:lang w:val="it-IT" w:eastAsia="en-US"/>
        </w:rPr>
        <w:t>nazionale</w:t>
      </w:r>
      <w:r w:rsidRPr="00777626">
        <w:rPr>
          <w:rFonts w:asciiTheme="minorHAnsi" w:eastAsiaTheme="minorHAnsi" w:hAnsiTheme="minorHAnsi" w:cstheme="minorHAnsi"/>
          <w:bCs/>
          <w:color w:val="000000"/>
          <w:sz w:val="22"/>
          <w:szCs w:val="22"/>
          <w:lang w:val="it-IT" w:eastAsia="en-US"/>
        </w:rPr>
        <w:t xml:space="preserve"> alle disposizioni del </w:t>
      </w:r>
      <w:r w:rsidR="00F14AD2">
        <w:rPr>
          <w:rFonts w:asciiTheme="minorHAnsi" w:eastAsiaTheme="minorHAnsi" w:hAnsiTheme="minorHAnsi" w:cstheme="minorHAnsi"/>
          <w:bCs/>
          <w:color w:val="000000"/>
          <w:sz w:val="22"/>
          <w:szCs w:val="22"/>
          <w:lang w:val="it-IT" w:eastAsia="en-US"/>
        </w:rPr>
        <w:t>Regolamento</w:t>
      </w:r>
      <w:r w:rsidRPr="00777626">
        <w:rPr>
          <w:rFonts w:asciiTheme="minorHAnsi" w:eastAsiaTheme="minorHAnsi" w:hAnsiTheme="minorHAnsi" w:cstheme="minorHAnsi"/>
          <w:bCs/>
          <w:color w:val="000000"/>
          <w:sz w:val="22"/>
          <w:szCs w:val="22"/>
          <w:lang w:val="it-IT" w:eastAsia="en-US"/>
        </w:rPr>
        <w:t>, anche attraverso l’introduzione di specifiche sanzioni</w:t>
      </w:r>
      <w:r w:rsidR="00F14AD2">
        <w:rPr>
          <w:rFonts w:asciiTheme="minorHAnsi" w:eastAsiaTheme="minorHAnsi" w:hAnsiTheme="minorHAnsi" w:cstheme="minorHAnsi"/>
          <w:bCs/>
          <w:color w:val="000000"/>
          <w:sz w:val="22"/>
          <w:szCs w:val="22"/>
          <w:lang w:val="it-IT" w:eastAsia="en-US"/>
        </w:rPr>
        <w:t xml:space="preserve"> in caso di mancata ottemperanza ai nuovi obblighi</w:t>
      </w:r>
      <w:r w:rsidR="00B353E1" w:rsidRPr="00777626">
        <w:rPr>
          <w:rFonts w:asciiTheme="minorHAnsi" w:eastAsiaTheme="minorHAnsi" w:hAnsiTheme="minorHAnsi" w:cstheme="minorHAnsi"/>
          <w:bCs/>
          <w:color w:val="000000"/>
          <w:sz w:val="22"/>
          <w:szCs w:val="22"/>
          <w:lang w:val="it-IT" w:eastAsia="en-US"/>
        </w:rPr>
        <w:t>; e</w:t>
      </w:r>
      <w:r w:rsidRPr="00777626">
        <w:rPr>
          <w:rFonts w:asciiTheme="minorHAnsi" w:eastAsiaTheme="minorHAnsi" w:hAnsiTheme="minorHAnsi" w:cstheme="minorHAnsi"/>
          <w:bCs/>
          <w:color w:val="000000"/>
          <w:sz w:val="22"/>
          <w:szCs w:val="22"/>
          <w:lang w:val="it-IT" w:eastAsia="en-US"/>
        </w:rPr>
        <w:t xml:space="preserve"> </w:t>
      </w:r>
    </w:p>
    <w:p w14:paraId="5C82BA6B" w14:textId="02336A6A" w:rsidR="00F14AD2" w:rsidRPr="006C6379" w:rsidRDefault="004D7C91" w:rsidP="006C6379">
      <w:pPr>
        <w:pStyle w:val="NormaleWeb"/>
        <w:numPr>
          <w:ilvl w:val="0"/>
          <w:numId w:val="20"/>
        </w:numPr>
        <w:spacing w:before="0" w:beforeAutospacing="0" w:after="0" w:afterAutospacing="0"/>
        <w:jc w:val="both"/>
        <w:rPr>
          <w:rFonts w:asciiTheme="minorHAnsi" w:eastAsiaTheme="minorHAnsi" w:hAnsiTheme="minorHAnsi" w:cstheme="minorHAnsi"/>
          <w:bCs/>
          <w:color w:val="000000"/>
          <w:sz w:val="22"/>
          <w:szCs w:val="22"/>
          <w:lang w:val="it-IT" w:eastAsia="en-US"/>
        </w:rPr>
      </w:pPr>
      <w:r w:rsidRPr="006C6379">
        <w:rPr>
          <w:rFonts w:asciiTheme="minorHAnsi" w:eastAsiaTheme="minorHAnsi" w:hAnsiTheme="minorHAnsi" w:cstheme="minorHAnsi"/>
          <w:bCs/>
          <w:color w:val="000000"/>
          <w:sz w:val="22"/>
          <w:szCs w:val="22"/>
          <w:lang w:val="it-IT" w:eastAsia="en-US"/>
        </w:rPr>
        <w:t>che il soggetto giuridico responsabile della costituzione e della gestione dell'archivio nazionale contenente le informazioni sulle caratteristiche di sicurezza dei medicinali per uso umano, con apposita convenzione, si avvalga dell’I</w:t>
      </w:r>
      <w:r w:rsidR="00F14AD2" w:rsidRPr="006C6379">
        <w:rPr>
          <w:rFonts w:asciiTheme="minorHAnsi" w:eastAsiaTheme="minorHAnsi" w:hAnsiTheme="minorHAnsi" w:cstheme="minorHAnsi"/>
          <w:bCs/>
          <w:color w:val="000000"/>
          <w:sz w:val="22"/>
          <w:szCs w:val="22"/>
          <w:lang w:val="it-IT" w:eastAsia="en-US"/>
        </w:rPr>
        <w:t>PZS</w:t>
      </w:r>
      <w:r w:rsidRPr="006C6379">
        <w:rPr>
          <w:rFonts w:asciiTheme="minorHAnsi" w:eastAsiaTheme="minorHAnsi" w:hAnsiTheme="minorHAnsi" w:cstheme="minorHAnsi"/>
          <w:bCs/>
          <w:color w:val="000000"/>
          <w:sz w:val="22"/>
          <w:szCs w:val="22"/>
          <w:lang w:val="it-IT" w:eastAsia="en-US"/>
        </w:rPr>
        <w:t xml:space="preserve">, per la realizzazione e la gestione dello stesso e verifichi la conformità delle medesime informazioni alle prescrizioni del </w:t>
      </w:r>
      <w:r w:rsidR="00F14AD2" w:rsidRPr="006C6379">
        <w:rPr>
          <w:rFonts w:asciiTheme="minorHAnsi" w:eastAsiaTheme="minorHAnsi" w:hAnsiTheme="minorHAnsi" w:cstheme="minorHAnsi"/>
          <w:bCs/>
          <w:color w:val="000000"/>
          <w:sz w:val="22"/>
          <w:szCs w:val="22"/>
          <w:lang w:val="it-IT" w:eastAsia="en-US"/>
        </w:rPr>
        <w:t>Regolamento</w:t>
      </w:r>
      <w:r w:rsidRPr="006C6379">
        <w:rPr>
          <w:rFonts w:asciiTheme="minorHAnsi" w:eastAsiaTheme="minorHAnsi" w:hAnsiTheme="minorHAnsi" w:cstheme="minorHAnsi"/>
          <w:bCs/>
          <w:color w:val="000000"/>
          <w:sz w:val="22"/>
          <w:szCs w:val="22"/>
          <w:lang w:val="it-IT" w:eastAsia="en-US"/>
        </w:rPr>
        <w:t>, nonché</w:t>
      </w:r>
      <w:r w:rsidR="00F14AD2" w:rsidRPr="006C6379">
        <w:rPr>
          <w:rFonts w:asciiTheme="minorHAnsi" w:eastAsiaTheme="minorHAnsi" w:hAnsiTheme="minorHAnsi" w:cstheme="minorHAnsi"/>
          <w:bCs/>
          <w:color w:val="000000"/>
          <w:sz w:val="22"/>
          <w:szCs w:val="22"/>
          <w:lang w:val="it-IT" w:eastAsia="en-US"/>
        </w:rPr>
        <w:t xml:space="preserve"> di</w:t>
      </w:r>
      <w:r w:rsidRPr="006C6379">
        <w:rPr>
          <w:rFonts w:asciiTheme="minorHAnsi" w:eastAsiaTheme="minorHAnsi" w:hAnsiTheme="minorHAnsi" w:cstheme="minorHAnsi"/>
          <w:bCs/>
          <w:color w:val="000000"/>
          <w:sz w:val="22"/>
          <w:szCs w:val="22"/>
          <w:lang w:val="it-IT" w:eastAsia="en-US"/>
        </w:rPr>
        <w:t xml:space="preserve"> prevedere le modalità di controllo da parte del Ministero della salute e dell'AIFA sul funzionamento dell'archivio al fine delle indagini sui potenziali casi di falsificazione, sul rimborso dei medicinali nonché sulla farmacovigilanza e sulla farmacoepidemiologia.</w:t>
      </w:r>
      <w:r w:rsidR="00157588" w:rsidRPr="006C6379">
        <w:rPr>
          <w:rFonts w:asciiTheme="minorHAnsi" w:eastAsiaTheme="minorHAnsi" w:hAnsiTheme="minorHAnsi" w:cstheme="minorHAnsi"/>
          <w:bCs/>
          <w:color w:val="000000"/>
          <w:sz w:val="22"/>
          <w:szCs w:val="22"/>
          <w:lang w:val="it-IT" w:eastAsia="en-US"/>
        </w:rPr>
        <w:t xml:space="preserve"> </w:t>
      </w:r>
    </w:p>
    <w:p w14:paraId="4B879EFF" w14:textId="77777777" w:rsidR="00F14AD2" w:rsidRPr="00777626" w:rsidRDefault="00F14AD2" w:rsidP="00777626">
      <w:pPr>
        <w:pStyle w:val="NormaleWeb"/>
        <w:spacing w:before="0" w:beforeAutospacing="0" w:after="0" w:afterAutospacing="0"/>
        <w:jc w:val="both"/>
        <w:rPr>
          <w:rFonts w:asciiTheme="minorHAnsi" w:eastAsiaTheme="minorHAnsi" w:hAnsiTheme="minorHAnsi" w:cstheme="minorHAnsi"/>
          <w:bCs/>
          <w:color w:val="000000"/>
          <w:sz w:val="22"/>
          <w:szCs w:val="22"/>
          <w:lang w:val="it-IT" w:eastAsia="en-US"/>
        </w:rPr>
      </w:pPr>
    </w:p>
    <w:p w14:paraId="03626C89" w14:textId="1EF71A12" w:rsidR="00205E2B" w:rsidRPr="003A3834" w:rsidRDefault="00205E2B" w:rsidP="00777626">
      <w:pPr>
        <w:pStyle w:val="NormaleWeb"/>
        <w:spacing w:before="0" w:beforeAutospacing="0" w:after="0" w:afterAutospacing="0"/>
        <w:jc w:val="both"/>
        <w:rPr>
          <w:rFonts w:cstheme="minorHAnsi"/>
          <w:bCs/>
          <w:color w:val="000000"/>
          <w:sz w:val="22"/>
          <w:szCs w:val="22"/>
          <w:lang w:val="it-IT"/>
        </w:rPr>
      </w:pPr>
      <w:r w:rsidRPr="00777626">
        <w:rPr>
          <w:rFonts w:asciiTheme="minorHAnsi" w:hAnsiTheme="minorHAnsi" w:cstheme="minorHAnsi"/>
          <w:bCs/>
          <w:color w:val="000000"/>
          <w:sz w:val="22"/>
          <w:szCs w:val="22"/>
          <w:lang w:val="it-IT"/>
        </w:rPr>
        <w:lastRenderedPageBreak/>
        <w:t xml:space="preserve">È utile ricordare </w:t>
      </w:r>
      <w:r w:rsidR="00157588" w:rsidRPr="00777626">
        <w:rPr>
          <w:rFonts w:asciiTheme="minorHAnsi" w:hAnsiTheme="minorHAnsi" w:cstheme="minorHAnsi"/>
          <w:bCs/>
          <w:color w:val="000000"/>
          <w:sz w:val="22"/>
          <w:szCs w:val="22"/>
          <w:lang w:val="it-IT"/>
        </w:rPr>
        <w:t xml:space="preserve">sul punto </w:t>
      </w:r>
      <w:r w:rsidRPr="00777626">
        <w:rPr>
          <w:rFonts w:asciiTheme="minorHAnsi" w:hAnsiTheme="minorHAnsi" w:cstheme="minorHAnsi"/>
          <w:bCs/>
          <w:color w:val="000000"/>
          <w:sz w:val="22"/>
          <w:szCs w:val="22"/>
          <w:lang w:val="it-IT"/>
        </w:rPr>
        <w:t xml:space="preserve">che </w:t>
      </w:r>
      <w:r w:rsidR="004F04E8">
        <w:rPr>
          <w:rFonts w:asciiTheme="minorHAnsi" w:hAnsiTheme="minorHAnsi" w:cstheme="minorHAnsi"/>
          <w:bCs/>
          <w:color w:val="000000"/>
          <w:sz w:val="22"/>
          <w:szCs w:val="22"/>
          <w:lang w:val="it-IT"/>
        </w:rPr>
        <w:t xml:space="preserve">la </w:t>
      </w:r>
      <w:r w:rsidR="00F14AD2" w:rsidRPr="00777626">
        <w:rPr>
          <w:rFonts w:asciiTheme="minorHAnsi" w:hAnsiTheme="minorHAnsi" w:cstheme="minorHAnsi"/>
          <w:b/>
          <w:i/>
          <w:iCs/>
          <w:color w:val="000000"/>
          <w:sz w:val="22"/>
          <w:szCs w:val="22"/>
          <w:lang w:val="it-IT"/>
        </w:rPr>
        <w:t>FMD</w:t>
      </w:r>
      <w:r w:rsidRPr="00777626">
        <w:rPr>
          <w:rFonts w:asciiTheme="minorHAnsi" w:hAnsiTheme="minorHAnsi" w:cstheme="minorHAnsi"/>
          <w:bCs/>
          <w:color w:val="000000"/>
          <w:sz w:val="22"/>
          <w:szCs w:val="22"/>
          <w:lang w:val="it-IT"/>
        </w:rPr>
        <w:t xml:space="preserve"> prevede che i costi del sistema di </w:t>
      </w:r>
      <w:r w:rsidR="00CF1272">
        <w:rPr>
          <w:rFonts w:asciiTheme="minorHAnsi" w:hAnsiTheme="minorHAnsi" w:cstheme="minorHAnsi"/>
          <w:bCs/>
          <w:color w:val="000000"/>
          <w:sz w:val="22"/>
          <w:szCs w:val="22"/>
          <w:lang w:val="it-IT"/>
        </w:rPr>
        <w:t>archivi</w:t>
      </w:r>
      <w:r w:rsidRPr="00777626">
        <w:rPr>
          <w:rFonts w:asciiTheme="minorHAnsi" w:hAnsiTheme="minorHAnsi" w:cstheme="minorHAnsi"/>
          <w:bCs/>
          <w:color w:val="000000"/>
          <w:sz w:val="22"/>
          <w:szCs w:val="22"/>
          <w:lang w:val="it-IT"/>
        </w:rPr>
        <w:t xml:space="preserve"> sono a carico dei titolari di </w:t>
      </w:r>
      <w:r w:rsidR="004F04E8">
        <w:rPr>
          <w:rFonts w:asciiTheme="minorHAnsi" w:hAnsiTheme="minorHAnsi" w:cstheme="minorHAnsi"/>
          <w:bCs/>
          <w:color w:val="000000"/>
          <w:sz w:val="22"/>
          <w:szCs w:val="22"/>
          <w:lang w:val="it-IT"/>
        </w:rPr>
        <w:t>AIC</w:t>
      </w:r>
      <w:r w:rsidRPr="00777626">
        <w:rPr>
          <w:rFonts w:asciiTheme="minorHAnsi" w:hAnsiTheme="minorHAnsi" w:cstheme="minorHAnsi"/>
          <w:bCs/>
          <w:color w:val="000000"/>
          <w:sz w:val="22"/>
          <w:szCs w:val="22"/>
          <w:lang w:val="it-IT"/>
        </w:rPr>
        <w:t xml:space="preserve">. </w:t>
      </w:r>
    </w:p>
    <w:p w14:paraId="05AF29E4" w14:textId="77777777" w:rsidR="001A5773" w:rsidRDefault="001A5773" w:rsidP="001A5773">
      <w:pPr>
        <w:pStyle w:val="NormaleWeb"/>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p>
    <w:p w14:paraId="4071861A" w14:textId="158428A7" w:rsidR="004A17AB" w:rsidRDefault="00AD3264" w:rsidP="001A5773">
      <w:pPr>
        <w:pStyle w:val="NormaleWeb"/>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u w:val="single"/>
          <w:lang w:val="it-IT" w:eastAsia="en-US"/>
        </w:rPr>
        <w:t>Una seconda fase normativa</w:t>
      </w:r>
      <w:r w:rsidR="00F14AD2">
        <w:rPr>
          <w:rFonts w:asciiTheme="minorHAnsi" w:eastAsiaTheme="minorHAnsi" w:hAnsiTheme="minorHAnsi" w:cstheme="minorHAnsi"/>
          <w:bCs/>
          <w:color w:val="000000"/>
          <w:sz w:val="22"/>
          <w:szCs w:val="22"/>
          <w:lang w:val="it-IT" w:eastAsia="en-US"/>
        </w:rPr>
        <w:t xml:space="preserve"> </w:t>
      </w:r>
      <w:r w:rsidR="004A17AB">
        <w:rPr>
          <w:rFonts w:asciiTheme="minorHAnsi" w:eastAsiaTheme="minorHAnsi" w:hAnsiTheme="minorHAnsi" w:cstheme="minorHAnsi"/>
          <w:bCs/>
          <w:color w:val="000000"/>
          <w:sz w:val="22"/>
          <w:szCs w:val="22"/>
          <w:lang w:val="it-IT" w:eastAsia="en-US"/>
        </w:rPr>
        <w:t>caratterizzata dall’iter relativo al</w:t>
      </w:r>
      <w:r w:rsidRPr="00777626">
        <w:rPr>
          <w:rFonts w:asciiTheme="minorHAnsi" w:eastAsiaTheme="minorHAnsi" w:hAnsiTheme="minorHAnsi" w:cstheme="minorHAnsi"/>
          <w:bCs/>
          <w:color w:val="000000"/>
          <w:sz w:val="22"/>
          <w:szCs w:val="22"/>
          <w:lang w:val="it-IT" w:eastAsia="en-US"/>
        </w:rPr>
        <w:t>l’adozione</w:t>
      </w:r>
      <w:r w:rsidR="004A17AB">
        <w:rPr>
          <w:rFonts w:asciiTheme="minorHAnsi" w:eastAsiaTheme="minorHAnsi" w:hAnsiTheme="minorHAnsi" w:cstheme="minorHAnsi"/>
          <w:bCs/>
          <w:color w:val="000000"/>
          <w:sz w:val="22"/>
          <w:szCs w:val="22"/>
          <w:lang w:val="it-IT" w:eastAsia="en-US"/>
        </w:rPr>
        <w:t>,</w:t>
      </w:r>
      <w:r w:rsidRPr="00777626">
        <w:rPr>
          <w:rFonts w:asciiTheme="minorHAnsi" w:eastAsiaTheme="minorHAnsi" w:hAnsiTheme="minorHAnsi" w:cstheme="minorHAnsi"/>
          <w:bCs/>
          <w:color w:val="000000"/>
          <w:sz w:val="22"/>
          <w:szCs w:val="22"/>
          <w:lang w:val="it-IT" w:eastAsia="en-US"/>
        </w:rPr>
        <w:t xml:space="preserve"> da parte del Consiglio dei ministri</w:t>
      </w:r>
      <w:r w:rsidR="004A17AB">
        <w:rPr>
          <w:rFonts w:asciiTheme="minorHAnsi" w:eastAsiaTheme="minorHAnsi" w:hAnsiTheme="minorHAnsi" w:cstheme="minorHAnsi"/>
          <w:bCs/>
          <w:color w:val="000000"/>
          <w:sz w:val="22"/>
          <w:szCs w:val="22"/>
          <w:lang w:val="it-IT" w:eastAsia="en-US"/>
        </w:rPr>
        <w:t>,</w:t>
      </w:r>
      <w:r w:rsidRPr="00777626">
        <w:rPr>
          <w:rFonts w:asciiTheme="minorHAnsi" w:eastAsiaTheme="minorHAnsi" w:hAnsiTheme="minorHAnsi" w:cstheme="minorHAnsi"/>
          <w:bCs/>
          <w:color w:val="000000"/>
          <w:sz w:val="22"/>
          <w:szCs w:val="22"/>
          <w:lang w:val="it-IT" w:eastAsia="en-US"/>
        </w:rPr>
        <w:t xml:space="preserve"> </w:t>
      </w:r>
      <w:r w:rsidR="00F14AD2">
        <w:rPr>
          <w:rFonts w:asciiTheme="minorHAnsi" w:eastAsiaTheme="minorHAnsi" w:hAnsiTheme="minorHAnsi" w:cstheme="minorHAnsi"/>
          <w:bCs/>
          <w:color w:val="000000"/>
          <w:sz w:val="22"/>
          <w:szCs w:val="22"/>
          <w:lang w:val="it-IT" w:eastAsia="en-US"/>
        </w:rPr>
        <w:t>d</w:t>
      </w:r>
      <w:r w:rsidR="004A17AB">
        <w:rPr>
          <w:rFonts w:asciiTheme="minorHAnsi" w:eastAsiaTheme="minorHAnsi" w:hAnsiTheme="minorHAnsi" w:cstheme="minorHAnsi"/>
          <w:bCs/>
          <w:color w:val="000000"/>
          <w:sz w:val="22"/>
          <w:szCs w:val="22"/>
          <w:lang w:val="it-IT" w:eastAsia="en-US"/>
        </w:rPr>
        <w:t xml:space="preserve">i un </w:t>
      </w:r>
      <w:r w:rsidR="004A17AB" w:rsidRPr="004A17AB">
        <w:rPr>
          <w:rFonts w:asciiTheme="minorHAnsi" w:eastAsiaTheme="minorHAnsi" w:hAnsiTheme="minorHAnsi" w:cstheme="minorHAnsi"/>
          <w:bCs/>
          <w:color w:val="000000"/>
          <w:sz w:val="22"/>
          <w:szCs w:val="22"/>
          <w:lang w:val="it-IT" w:eastAsia="en-US"/>
        </w:rPr>
        <w:t xml:space="preserve">decreto legislativo recante adeguamento della normativa nazionale alle disposizioni del </w:t>
      </w:r>
      <w:r w:rsidR="004A17AB">
        <w:rPr>
          <w:rFonts w:asciiTheme="minorHAnsi" w:eastAsiaTheme="minorHAnsi" w:hAnsiTheme="minorHAnsi" w:cstheme="minorHAnsi"/>
          <w:bCs/>
          <w:color w:val="000000"/>
          <w:sz w:val="22"/>
          <w:szCs w:val="22"/>
          <w:lang w:val="it-IT" w:eastAsia="en-US"/>
        </w:rPr>
        <w:t>Regolamento</w:t>
      </w:r>
      <w:r w:rsidR="004A17AB" w:rsidRPr="004A17AB">
        <w:rPr>
          <w:rFonts w:asciiTheme="minorHAnsi" w:eastAsiaTheme="minorHAnsi" w:hAnsiTheme="minorHAnsi" w:cstheme="minorHAnsi"/>
          <w:bCs/>
          <w:color w:val="000000"/>
          <w:sz w:val="22"/>
          <w:szCs w:val="22"/>
          <w:lang w:val="it-IT" w:eastAsia="en-US"/>
        </w:rPr>
        <w:t>,</w:t>
      </w:r>
      <w:r w:rsidR="004A17AB">
        <w:rPr>
          <w:rFonts w:asciiTheme="minorHAnsi" w:eastAsiaTheme="minorHAnsi" w:hAnsiTheme="minorHAnsi" w:cstheme="minorHAnsi"/>
          <w:bCs/>
          <w:color w:val="000000"/>
          <w:sz w:val="22"/>
          <w:szCs w:val="22"/>
          <w:lang w:val="it-IT" w:eastAsia="en-US"/>
        </w:rPr>
        <w:t xml:space="preserve"> (“</w:t>
      </w:r>
      <w:r w:rsidR="004A17AB" w:rsidRPr="00777626">
        <w:rPr>
          <w:rFonts w:asciiTheme="minorHAnsi" w:eastAsiaTheme="minorHAnsi" w:hAnsiTheme="minorHAnsi" w:cstheme="minorHAnsi"/>
          <w:b/>
          <w:color w:val="000000"/>
          <w:sz w:val="22"/>
          <w:szCs w:val="22"/>
          <w:lang w:val="it-IT" w:eastAsia="en-US"/>
        </w:rPr>
        <w:t>Schema di Decreto Legislativo</w:t>
      </w:r>
      <w:r w:rsidR="004A17AB">
        <w:rPr>
          <w:rFonts w:asciiTheme="minorHAnsi" w:eastAsiaTheme="minorHAnsi" w:hAnsiTheme="minorHAnsi" w:cstheme="minorHAnsi"/>
          <w:bCs/>
          <w:color w:val="000000"/>
          <w:sz w:val="22"/>
          <w:szCs w:val="22"/>
          <w:lang w:val="it-IT" w:eastAsia="en-US"/>
        </w:rPr>
        <w:t>”), in attuazione dell’art. 6</w:t>
      </w:r>
      <w:r w:rsidR="00F14AD2">
        <w:rPr>
          <w:rFonts w:asciiTheme="minorHAnsi" w:eastAsiaTheme="minorHAnsi" w:hAnsiTheme="minorHAnsi" w:cstheme="minorHAnsi"/>
          <w:bCs/>
          <w:color w:val="000000"/>
          <w:sz w:val="22"/>
          <w:szCs w:val="22"/>
          <w:lang w:val="it-IT" w:eastAsia="en-US"/>
        </w:rPr>
        <w:t xml:space="preserve"> </w:t>
      </w:r>
      <w:r w:rsidR="004A17AB">
        <w:rPr>
          <w:rFonts w:asciiTheme="minorHAnsi" w:eastAsiaTheme="minorHAnsi" w:hAnsiTheme="minorHAnsi" w:cstheme="minorHAnsi"/>
          <w:bCs/>
          <w:color w:val="000000"/>
          <w:sz w:val="22"/>
          <w:szCs w:val="22"/>
          <w:lang w:val="it-IT" w:eastAsia="en-US"/>
        </w:rPr>
        <w:t xml:space="preserve">della </w:t>
      </w:r>
      <w:r w:rsidR="00F14AD2" w:rsidRPr="00190187">
        <w:rPr>
          <w:rFonts w:asciiTheme="minorHAnsi" w:eastAsiaTheme="minorHAnsi" w:hAnsiTheme="minorHAnsi" w:cstheme="minorHAnsi"/>
          <w:bCs/>
          <w:color w:val="000000"/>
          <w:sz w:val="22"/>
          <w:szCs w:val="22"/>
          <w:lang w:val="it-IT" w:eastAsia="en-US"/>
        </w:rPr>
        <w:t>Legge di 21 febbraio 2024, n. 15</w:t>
      </w:r>
      <w:r w:rsidR="004A17AB">
        <w:rPr>
          <w:rFonts w:asciiTheme="minorHAnsi" w:eastAsiaTheme="minorHAnsi" w:hAnsiTheme="minorHAnsi" w:cstheme="minorHAnsi"/>
          <w:bCs/>
          <w:color w:val="000000"/>
          <w:sz w:val="22"/>
          <w:szCs w:val="22"/>
          <w:lang w:val="it-IT" w:eastAsia="en-US"/>
        </w:rPr>
        <w:t xml:space="preserve">, il cui testo è oggi al vaglio della Camera dei deputati e del Senato della </w:t>
      </w:r>
      <w:r w:rsidR="004A17AB" w:rsidRPr="003B0BFC">
        <w:rPr>
          <w:rFonts w:asciiTheme="minorHAnsi" w:eastAsiaTheme="minorHAnsi" w:hAnsiTheme="minorHAnsi" w:cstheme="minorHAnsi"/>
          <w:bCs/>
          <w:color w:val="000000"/>
          <w:sz w:val="22"/>
          <w:szCs w:val="22"/>
          <w:lang w:val="it-IT" w:eastAsia="en-US"/>
        </w:rPr>
        <w:t>Repubblica e sul quale sarà svolto nei prossimi giorni un ciclo di audizioni, compresa quella del Presidente dell’AIFA</w:t>
      </w:r>
      <w:r w:rsidRPr="003B0BFC">
        <w:rPr>
          <w:rFonts w:asciiTheme="minorHAnsi" w:eastAsiaTheme="minorHAnsi" w:hAnsiTheme="minorHAnsi" w:cstheme="minorHAnsi"/>
          <w:bCs/>
          <w:color w:val="000000"/>
          <w:sz w:val="22"/>
          <w:szCs w:val="22"/>
          <w:lang w:val="it-IT" w:eastAsia="en-US"/>
        </w:rPr>
        <w:t>.</w:t>
      </w:r>
      <w:r w:rsidRPr="00777626">
        <w:rPr>
          <w:rFonts w:asciiTheme="minorHAnsi" w:eastAsiaTheme="minorHAnsi" w:hAnsiTheme="minorHAnsi" w:cstheme="minorHAnsi"/>
          <w:bCs/>
          <w:color w:val="000000"/>
          <w:sz w:val="22"/>
          <w:szCs w:val="22"/>
          <w:lang w:val="it-IT" w:eastAsia="en-US"/>
        </w:rPr>
        <w:t xml:space="preserve"> </w:t>
      </w:r>
    </w:p>
    <w:p w14:paraId="35D40726" w14:textId="77777777" w:rsidR="004A17AB" w:rsidRDefault="004A17AB" w:rsidP="001A5773">
      <w:pPr>
        <w:pStyle w:val="NormaleWeb"/>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p>
    <w:p w14:paraId="3BFF19CB" w14:textId="2DE4A161" w:rsidR="004D7C91" w:rsidRDefault="00F14AD2" w:rsidP="001A5773">
      <w:pPr>
        <w:pStyle w:val="NormaleWeb"/>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Pr>
          <w:rFonts w:asciiTheme="minorHAnsi" w:eastAsiaTheme="minorHAnsi" w:hAnsiTheme="minorHAnsi" w:cstheme="minorHAnsi"/>
          <w:bCs/>
          <w:color w:val="000000"/>
          <w:sz w:val="22"/>
          <w:szCs w:val="22"/>
          <w:lang w:val="it-IT" w:eastAsia="en-US"/>
        </w:rPr>
        <w:t xml:space="preserve">Suddetta </w:t>
      </w:r>
      <w:r w:rsidR="004A17AB">
        <w:rPr>
          <w:rFonts w:asciiTheme="minorHAnsi" w:eastAsiaTheme="minorHAnsi" w:hAnsiTheme="minorHAnsi" w:cstheme="minorHAnsi"/>
          <w:bCs/>
          <w:color w:val="000000"/>
          <w:sz w:val="22"/>
          <w:szCs w:val="22"/>
          <w:lang w:val="it-IT" w:eastAsia="en-US"/>
        </w:rPr>
        <w:t xml:space="preserve">seconda </w:t>
      </w:r>
      <w:r w:rsidR="004D7C91" w:rsidRPr="00777626">
        <w:rPr>
          <w:rFonts w:asciiTheme="minorHAnsi" w:eastAsiaTheme="minorHAnsi" w:hAnsiTheme="minorHAnsi" w:cstheme="minorHAnsi"/>
          <w:bCs/>
          <w:color w:val="000000"/>
          <w:sz w:val="22"/>
          <w:szCs w:val="22"/>
          <w:lang w:val="it-IT" w:eastAsia="en-US"/>
        </w:rPr>
        <w:t>fase</w:t>
      </w:r>
      <w:r w:rsidR="004A17AB">
        <w:rPr>
          <w:rFonts w:asciiTheme="minorHAnsi" w:eastAsiaTheme="minorHAnsi" w:hAnsiTheme="minorHAnsi" w:cstheme="minorHAnsi"/>
          <w:bCs/>
          <w:color w:val="000000"/>
          <w:sz w:val="22"/>
          <w:szCs w:val="22"/>
          <w:lang w:val="it-IT" w:eastAsia="en-US"/>
        </w:rPr>
        <w:t xml:space="preserve"> normativa</w:t>
      </w:r>
      <w:r>
        <w:rPr>
          <w:rFonts w:asciiTheme="minorHAnsi" w:eastAsiaTheme="minorHAnsi" w:hAnsiTheme="minorHAnsi" w:cstheme="minorHAnsi"/>
          <w:bCs/>
          <w:color w:val="000000"/>
          <w:sz w:val="22"/>
          <w:szCs w:val="22"/>
          <w:lang w:val="it-IT" w:eastAsia="en-US"/>
        </w:rPr>
        <w:t xml:space="preserve">, che è </w:t>
      </w:r>
      <w:r w:rsidR="004A17AB">
        <w:rPr>
          <w:rFonts w:asciiTheme="minorHAnsi" w:eastAsiaTheme="minorHAnsi" w:hAnsiTheme="minorHAnsi" w:cstheme="minorHAnsi"/>
          <w:bCs/>
          <w:color w:val="000000"/>
          <w:sz w:val="22"/>
          <w:szCs w:val="22"/>
          <w:lang w:val="it-IT" w:eastAsia="en-US"/>
        </w:rPr>
        <w:t xml:space="preserve">stata </w:t>
      </w:r>
      <w:r>
        <w:rPr>
          <w:rFonts w:asciiTheme="minorHAnsi" w:eastAsiaTheme="minorHAnsi" w:hAnsiTheme="minorHAnsi" w:cstheme="minorHAnsi"/>
          <w:bCs/>
          <w:color w:val="000000"/>
          <w:sz w:val="22"/>
          <w:szCs w:val="22"/>
          <w:lang w:val="it-IT" w:eastAsia="en-US"/>
        </w:rPr>
        <w:t>gestita dall’Ufficio</w:t>
      </w:r>
      <w:r w:rsidR="004D7C91" w:rsidRPr="00777626">
        <w:rPr>
          <w:rFonts w:asciiTheme="minorHAnsi" w:eastAsiaTheme="minorHAnsi" w:hAnsiTheme="minorHAnsi" w:cstheme="minorHAnsi"/>
          <w:bCs/>
          <w:color w:val="000000"/>
          <w:sz w:val="22"/>
          <w:szCs w:val="22"/>
          <w:lang w:val="it-IT" w:eastAsia="en-US"/>
        </w:rPr>
        <w:t xml:space="preserve"> </w:t>
      </w:r>
      <w:r w:rsidRPr="00190187">
        <w:rPr>
          <w:rFonts w:asciiTheme="minorHAnsi" w:eastAsiaTheme="minorHAnsi" w:hAnsiTheme="minorHAnsi" w:cstheme="minorHAnsi"/>
          <w:bCs/>
          <w:color w:val="000000"/>
          <w:sz w:val="22"/>
          <w:szCs w:val="22"/>
          <w:lang w:val="it-IT" w:eastAsia="en-US"/>
        </w:rPr>
        <w:t>di Gabinetto</w:t>
      </w:r>
      <w:r w:rsidR="00777626">
        <w:rPr>
          <w:rFonts w:asciiTheme="minorHAnsi" w:eastAsiaTheme="minorHAnsi" w:hAnsiTheme="minorHAnsi" w:cstheme="minorHAnsi"/>
          <w:bCs/>
          <w:color w:val="000000"/>
          <w:sz w:val="22"/>
          <w:szCs w:val="22"/>
          <w:lang w:val="it-IT" w:eastAsia="en-US"/>
        </w:rPr>
        <w:t xml:space="preserve"> e dall’Ufficio Legislativo</w:t>
      </w:r>
      <w:r w:rsidRPr="00190187">
        <w:rPr>
          <w:rFonts w:asciiTheme="minorHAnsi" w:eastAsiaTheme="minorHAnsi" w:hAnsiTheme="minorHAnsi" w:cstheme="minorHAnsi"/>
          <w:bCs/>
          <w:color w:val="000000"/>
          <w:sz w:val="22"/>
          <w:szCs w:val="22"/>
          <w:lang w:val="it-IT" w:eastAsia="en-US"/>
        </w:rPr>
        <w:t xml:space="preserve"> </w:t>
      </w:r>
      <w:r>
        <w:rPr>
          <w:rFonts w:asciiTheme="minorHAnsi" w:eastAsiaTheme="minorHAnsi" w:hAnsiTheme="minorHAnsi" w:cstheme="minorHAnsi"/>
          <w:bCs/>
          <w:color w:val="000000"/>
          <w:sz w:val="22"/>
          <w:szCs w:val="22"/>
          <w:lang w:val="it-IT" w:eastAsia="en-US"/>
        </w:rPr>
        <w:t>del Ministero della salute</w:t>
      </w:r>
      <w:r w:rsidR="004A17AB">
        <w:rPr>
          <w:rFonts w:asciiTheme="minorHAnsi" w:eastAsiaTheme="minorHAnsi" w:hAnsiTheme="minorHAnsi" w:cstheme="minorHAnsi"/>
          <w:bCs/>
          <w:color w:val="000000"/>
          <w:sz w:val="22"/>
          <w:szCs w:val="22"/>
          <w:lang w:val="it-IT" w:eastAsia="en-US"/>
        </w:rPr>
        <w:t>,</w:t>
      </w:r>
      <w:r>
        <w:rPr>
          <w:rFonts w:asciiTheme="minorHAnsi" w:eastAsiaTheme="minorHAnsi" w:hAnsiTheme="minorHAnsi" w:cstheme="minorHAnsi"/>
          <w:bCs/>
          <w:color w:val="000000"/>
          <w:sz w:val="22"/>
          <w:szCs w:val="22"/>
          <w:lang w:val="it-IT" w:eastAsia="en-US"/>
        </w:rPr>
        <w:t xml:space="preserve"> </w:t>
      </w:r>
      <w:r w:rsidR="004D7C91" w:rsidRPr="00777626">
        <w:rPr>
          <w:rFonts w:asciiTheme="minorHAnsi" w:eastAsiaTheme="minorHAnsi" w:hAnsiTheme="minorHAnsi" w:cstheme="minorHAnsi"/>
          <w:bCs/>
          <w:color w:val="000000"/>
          <w:sz w:val="22"/>
          <w:szCs w:val="22"/>
          <w:lang w:val="it-IT" w:eastAsia="en-US"/>
        </w:rPr>
        <w:t>ha visto parzialmente coinvolta anche l’AIFA</w:t>
      </w:r>
      <w:r>
        <w:rPr>
          <w:rStyle w:val="Rimandonotaapidipagina"/>
          <w:rFonts w:asciiTheme="minorHAnsi" w:eastAsiaTheme="minorHAnsi" w:hAnsiTheme="minorHAnsi" w:cstheme="minorHAnsi"/>
          <w:bCs/>
          <w:color w:val="000000"/>
          <w:sz w:val="22"/>
          <w:szCs w:val="22"/>
          <w:lang w:val="it-IT" w:eastAsia="en-US"/>
        </w:rPr>
        <w:footnoteReference w:id="5"/>
      </w:r>
      <w:r w:rsidR="004D7C91" w:rsidRPr="00777626">
        <w:rPr>
          <w:rFonts w:asciiTheme="minorHAnsi" w:eastAsiaTheme="minorHAnsi" w:hAnsiTheme="minorHAnsi" w:cstheme="minorHAnsi"/>
          <w:bCs/>
          <w:color w:val="000000"/>
          <w:sz w:val="22"/>
          <w:szCs w:val="22"/>
          <w:lang w:val="it-IT" w:eastAsia="en-US"/>
        </w:rPr>
        <w:t xml:space="preserve">. In particolare, </w:t>
      </w:r>
      <w:r w:rsidR="004A17AB">
        <w:rPr>
          <w:rFonts w:asciiTheme="minorHAnsi" w:eastAsiaTheme="minorHAnsi" w:hAnsiTheme="minorHAnsi" w:cstheme="minorHAnsi"/>
          <w:bCs/>
          <w:color w:val="000000"/>
          <w:sz w:val="22"/>
          <w:szCs w:val="22"/>
          <w:lang w:val="it-IT" w:eastAsia="en-US"/>
        </w:rPr>
        <w:t xml:space="preserve">tale </w:t>
      </w:r>
      <w:r w:rsidR="004D7C91" w:rsidRPr="00777626">
        <w:rPr>
          <w:rFonts w:asciiTheme="minorHAnsi" w:eastAsiaTheme="minorHAnsi" w:hAnsiTheme="minorHAnsi" w:cstheme="minorHAnsi"/>
          <w:bCs/>
          <w:color w:val="000000"/>
          <w:sz w:val="22"/>
          <w:szCs w:val="22"/>
          <w:lang w:val="it-IT" w:eastAsia="en-US"/>
        </w:rPr>
        <w:t xml:space="preserve">coinvolgimento è avvenuto </w:t>
      </w:r>
      <w:r w:rsidR="004F04E8" w:rsidRPr="00777626">
        <w:rPr>
          <w:rFonts w:asciiTheme="minorHAnsi" w:eastAsiaTheme="minorHAnsi" w:hAnsiTheme="minorHAnsi" w:cstheme="minorHAnsi"/>
          <w:bCs/>
          <w:color w:val="000000"/>
          <w:sz w:val="22"/>
          <w:szCs w:val="22"/>
          <w:lang w:val="it-IT" w:eastAsia="en-US"/>
        </w:rPr>
        <w:t xml:space="preserve">– seppur nell’urgenza di consentire una celere adozione della normativa - </w:t>
      </w:r>
      <w:r w:rsidR="004D7C91" w:rsidRPr="00777626">
        <w:rPr>
          <w:rFonts w:asciiTheme="minorHAnsi" w:eastAsiaTheme="minorHAnsi" w:hAnsiTheme="minorHAnsi" w:cstheme="minorHAnsi"/>
          <w:bCs/>
          <w:color w:val="000000"/>
          <w:sz w:val="22"/>
          <w:szCs w:val="22"/>
          <w:lang w:val="it-IT" w:eastAsia="en-US"/>
        </w:rPr>
        <w:t>sia nella predisposizione</w:t>
      </w:r>
      <w:r w:rsidR="004A17AB" w:rsidRPr="00777626">
        <w:rPr>
          <w:rFonts w:asciiTheme="minorHAnsi" w:eastAsiaTheme="minorHAnsi" w:hAnsiTheme="minorHAnsi" w:cstheme="minorHAnsi"/>
          <w:bCs/>
          <w:color w:val="000000"/>
          <w:sz w:val="22"/>
          <w:szCs w:val="22"/>
          <w:lang w:val="it-IT" w:eastAsia="en-US"/>
        </w:rPr>
        <w:t xml:space="preserve"> iniziale </w:t>
      </w:r>
      <w:r w:rsidR="00E151C4">
        <w:rPr>
          <w:rFonts w:asciiTheme="minorHAnsi" w:eastAsiaTheme="minorHAnsi" w:hAnsiTheme="minorHAnsi" w:cstheme="minorHAnsi"/>
          <w:bCs/>
          <w:color w:val="000000"/>
          <w:sz w:val="22"/>
          <w:szCs w:val="22"/>
          <w:lang w:val="it-IT" w:eastAsia="en-US"/>
        </w:rPr>
        <w:t xml:space="preserve">di alcuni articoli </w:t>
      </w:r>
      <w:r w:rsidR="004A17AB" w:rsidRPr="00777626">
        <w:rPr>
          <w:rFonts w:asciiTheme="minorHAnsi" w:eastAsiaTheme="minorHAnsi" w:hAnsiTheme="minorHAnsi" w:cstheme="minorHAnsi"/>
          <w:bCs/>
          <w:color w:val="000000"/>
          <w:sz w:val="22"/>
          <w:szCs w:val="22"/>
          <w:lang w:val="it-IT" w:eastAsia="en-US"/>
        </w:rPr>
        <w:t>dello Schema di Decreto Legislativo, che nella</w:t>
      </w:r>
      <w:r w:rsidR="004D7C91" w:rsidRPr="00777626">
        <w:rPr>
          <w:rFonts w:asciiTheme="minorHAnsi" w:eastAsiaTheme="minorHAnsi" w:hAnsiTheme="minorHAnsi" w:cstheme="minorHAnsi"/>
          <w:bCs/>
          <w:color w:val="000000"/>
          <w:sz w:val="22"/>
          <w:szCs w:val="22"/>
          <w:lang w:val="it-IT" w:eastAsia="en-US"/>
        </w:rPr>
        <w:t xml:space="preserve"> revisione delle diverse versioni dei testi predisposti dall’Ufficio di Gabinetto e dall’Ufficio Legislativo del Ministero della salute </w:t>
      </w:r>
      <w:r w:rsidR="004A17AB">
        <w:rPr>
          <w:rFonts w:asciiTheme="minorHAnsi" w:eastAsiaTheme="minorHAnsi" w:hAnsiTheme="minorHAnsi" w:cstheme="minorHAnsi"/>
          <w:bCs/>
          <w:color w:val="000000"/>
          <w:sz w:val="22"/>
          <w:szCs w:val="22"/>
          <w:lang w:val="it-IT" w:eastAsia="en-US"/>
        </w:rPr>
        <w:t>nonché</w:t>
      </w:r>
      <w:r w:rsidR="004D7C91" w:rsidRPr="00777626">
        <w:rPr>
          <w:rFonts w:asciiTheme="minorHAnsi" w:eastAsiaTheme="minorHAnsi" w:hAnsiTheme="minorHAnsi" w:cstheme="minorHAnsi"/>
          <w:bCs/>
          <w:color w:val="000000"/>
          <w:sz w:val="22"/>
          <w:szCs w:val="22"/>
          <w:lang w:val="it-IT" w:eastAsia="en-US"/>
        </w:rPr>
        <w:t xml:space="preserve"> nella partecipazione ad alcune riunioni svoltesi </w:t>
      </w:r>
      <w:r w:rsidR="00777626">
        <w:rPr>
          <w:rFonts w:asciiTheme="minorHAnsi" w:eastAsiaTheme="minorHAnsi" w:hAnsiTheme="minorHAnsi" w:cstheme="minorHAnsi"/>
          <w:bCs/>
          <w:color w:val="000000"/>
          <w:sz w:val="22"/>
          <w:szCs w:val="22"/>
          <w:lang w:val="it-IT" w:eastAsia="en-US"/>
        </w:rPr>
        <w:t xml:space="preserve">tra il Ministero, </w:t>
      </w:r>
      <w:r w:rsidR="004A17AB">
        <w:rPr>
          <w:rFonts w:asciiTheme="minorHAnsi" w:eastAsiaTheme="minorHAnsi" w:hAnsiTheme="minorHAnsi" w:cstheme="minorHAnsi"/>
          <w:bCs/>
          <w:color w:val="000000"/>
          <w:sz w:val="22"/>
          <w:szCs w:val="22"/>
          <w:lang w:val="it-IT" w:eastAsia="en-US"/>
        </w:rPr>
        <w:t xml:space="preserve">l’IPZS </w:t>
      </w:r>
      <w:r w:rsidR="004D7C91" w:rsidRPr="00777626">
        <w:rPr>
          <w:rFonts w:asciiTheme="minorHAnsi" w:eastAsiaTheme="minorHAnsi" w:hAnsiTheme="minorHAnsi" w:cstheme="minorHAnsi"/>
          <w:bCs/>
          <w:color w:val="000000"/>
          <w:sz w:val="22"/>
          <w:szCs w:val="22"/>
          <w:lang w:val="it-IT" w:eastAsia="en-US"/>
        </w:rPr>
        <w:t>e i rappresentati della filiera.</w:t>
      </w:r>
    </w:p>
    <w:p w14:paraId="242661BF" w14:textId="77777777" w:rsidR="004A17AB" w:rsidRPr="00777626" w:rsidRDefault="004A17AB" w:rsidP="00777626">
      <w:pPr>
        <w:pStyle w:val="NormaleWeb"/>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p>
    <w:p w14:paraId="1029F57B" w14:textId="7628CE15" w:rsidR="00AD3264" w:rsidRPr="00777626" w:rsidRDefault="00AD3264" w:rsidP="00777626">
      <w:pPr>
        <w:pStyle w:val="NormaleWeb"/>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 xml:space="preserve">Lo </w:t>
      </w:r>
      <w:r w:rsidR="004A17AB">
        <w:rPr>
          <w:rFonts w:asciiTheme="minorHAnsi" w:eastAsiaTheme="minorHAnsi" w:hAnsiTheme="minorHAnsi" w:cstheme="minorHAnsi"/>
          <w:bCs/>
          <w:color w:val="000000"/>
          <w:sz w:val="22"/>
          <w:szCs w:val="22"/>
          <w:lang w:val="it-IT" w:eastAsia="en-US"/>
        </w:rPr>
        <w:t>S</w:t>
      </w:r>
      <w:r w:rsidRPr="00777626">
        <w:rPr>
          <w:rFonts w:asciiTheme="minorHAnsi" w:eastAsiaTheme="minorHAnsi" w:hAnsiTheme="minorHAnsi" w:cstheme="minorHAnsi"/>
          <w:bCs/>
          <w:color w:val="000000"/>
          <w:sz w:val="22"/>
          <w:szCs w:val="22"/>
          <w:lang w:val="it-IT" w:eastAsia="en-US"/>
        </w:rPr>
        <w:t xml:space="preserve">chema di </w:t>
      </w:r>
      <w:r w:rsidR="004A17AB">
        <w:rPr>
          <w:rFonts w:asciiTheme="minorHAnsi" w:eastAsiaTheme="minorHAnsi" w:hAnsiTheme="minorHAnsi" w:cstheme="minorHAnsi"/>
          <w:bCs/>
          <w:color w:val="000000"/>
          <w:sz w:val="22"/>
          <w:szCs w:val="22"/>
          <w:lang w:val="it-IT" w:eastAsia="en-US"/>
        </w:rPr>
        <w:t>D</w:t>
      </w:r>
      <w:r w:rsidRPr="00777626">
        <w:rPr>
          <w:rFonts w:asciiTheme="minorHAnsi" w:eastAsiaTheme="minorHAnsi" w:hAnsiTheme="minorHAnsi" w:cstheme="minorHAnsi"/>
          <w:bCs/>
          <w:color w:val="000000"/>
          <w:sz w:val="22"/>
          <w:szCs w:val="22"/>
          <w:lang w:val="it-IT" w:eastAsia="en-US"/>
        </w:rPr>
        <w:t xml:space="preserve">ecreto </w:t>
      </w:r>
      <w:r w:rsidR="004A17AB">
        <w:rPr>
          <w:rFonts w:asciiTheme="minorHAnsi" w:eastAsiaTheme="minorHAnsi" w:hAnsiTheme="minorHAnsi" w:cstheme="minorHAnsi"/>
          <w:bCs/>
          <w:color w:val="000000"/>
          <w:sz w:val="22"/>
          <w:szCs w:val="22"/>
          <w:lang w:val="it-IT" w:eastAsia="en-US"/>
        </w:rPr>
        <w:t>L</w:t>
      </w:r>
      <w:r w:rsidRPr="00777626">
        <w:rPr>
          <w:rFonts w:asciiTheme="minorHAnsi" w:eastAsiaTheme="minorHAnsi" w:hAnsiTheme="minorHAnsi" w:cstheme="minorHAnsi"/>
          <w:bCs/>
          <w:color w:val="000000"/>
          <w:sz w:val="22"/>
          <w:szCs w:val="22"/>
          <w:lang w:val="it-IT" w:eastAsia="en-US"/>
        </w:rPr>
        <w:t xml:space="preserve">egislativo, </w:t>
      </w:r>
      <w:r w:rsidR="004A17AB">
        <w:rPr>
          <w:rFonts w:asciiTheme="minorHAnsi" w:eastAsiaTheme="minorHAnsi" w:hAnsiTheme="minorHAnsi" w:cstheme="minorHAnsi"/>
          <w:bCs/>
          <w:color w:val="000000"/>
          <w:sz w:val="22"/>
          <w:szCs w:val="22"/>
          <w:lang w:val="it-IT" w:eastAsia="en-US"/>
        </w:rPr>
        <w:t>già</w:t>
      </w:r>
      <w:r w:rsidRPr="00777626">
        <w:rPr>
          <w:rFonts w:asciiTheme="minorHAnsi" w:eastAsiaTheme="minorHAnsi" w:hAnsiTheme="minorHAnsi" w:cstheme="minorHAnsi"/>
          <w:bCs/>
          <w:color w:val="000000"/>
          <w:sz w:val="22"/>
          <w:szCs w:val="22"/>
          <w:lang w:val="it-IT" w:eastAsia="en-US"/>
        </w:rPr>
        <w:t xml:space="preserve"> oggetto di deliberazione preliminare da parte del Consiglio dei Ministri, </w:t>
      </w:r>
      <w:r w:rsidR="004A17AB">
        <w:rPr>
          <w:rFonts w:asciiTheme="minorHAnsi" w:eastAsiaTheme="minorHAnsi" w:hAnsiTheme="minorHAnsi" w:cstheme="minorHAnsi"/>
          <w:bCs/>
          <w:color w:val="000000"/>
          <w:sz w:val="22"/>
          <w:szCs w:val="22"/>
          <w:lang w:val="it-IT" w:eastAsia="en-US"/>
        </w:rPr>
        <w:t>una volta acquisiti i pareri del</w:t>
      </w:r>
      <w:r w:rsidRPr="00777626">
        <w:rPr>
          <w:rFonts w:asciiTheme="minorHAnsi" w:eastAsiaTheme="minorHAnsi" w:hAnsiTheme="minorHAnsi" w:cstheme="minorHAnsi"/>
          <w:bCs/>
          <w:color w:val="000000"/>
          <w:sz w:val="22"/>
          <w:szCs w:val="22"/>
          <w:lang w:val="it-IT" w:eastAsia="en-US"/>
        </w:rPr>
        <w:t xml:space="preserve">la Camera dei deputati e il Senato della Repubblica </w:t>
      </w:r>
      <w:r w:rsidR="004A17AB">
        <w:rPr>
          <w:rFonts w:asciiTheme="minorHAnsi" w:eastAsiaTheme="minorHAnsi" w:hAnsiTheme="minorHAnsi" w:cstheme="minorHAnsi"/>
          <w:bCs/>
          <w:color w:val="000000"/>
          <w:sz w:val="22"/>
          <w:szCs w:val="22"/>
          <w:lang w:val="it-IT" w:eastAsia="en-US"/>
        </w:rPr>
        <w:t xml:space="preserve">e </w:t>
      </w:r>
      <w:r w:rsidRPr="00777626">
        <w:rPr>
          <w:rFonts w:asciiTheme="minorHAnsi" w:eastAsiaTheme="minorHAnsi" w:hAnsiTheme="minorHAnsi" w:cstheme="minorHAnsi"/>
          <w:bCs/>
          <w:color w:val="000000"/>
          <w:sz w:val="22"/>
          <w:szCs w:val="22"/>
          <w:lang w:val="it-IT" w:eastAsia="en-US"/>
        </w:rPr>
        <w:t xml:space="preserve">della Conferenza </w:t>
      </w:r>
      <w:r w:rsidR="00BC2BAE" w:rsidRPr="00777626">
        <w:rPr>
          <w:rFonts w:asciiTheme="minorHAnsi" w:eastAsiaTheme="minorHAnsi" w:hAnsiTheme="minorHAnsi" w:cstheme="minorHAnsi"/>
          <w:bCs/>
          <w:color w:val="000000"/>
          <w:sz w:val="22"/>
          <w:szCs w:val="22"/>
          <w:lang w:val="it-IT" w:eastAsia="en-US"/>
        </w:rPr>
        <w:t>permanente per i rapporti tra lo Stato, le regioni e le province autonome di Trento e di Bolzano, sarà adottato</w:t>
      </w:r>
      <w:r w:rsidR="004A17AB">
        <w:rPr>
          <w:rFonts w:asciiTheme="minorHAnsi" w:eastAsiaTheme="minorHAnsi" w:hAnsiTheme="minorHAnsi" w:cstheme="minorHAnsi"/>
          <w:bCs/>
          <w:color w:val="000000"/>
          <w:sz w:val="22"/>
          <w:szCs w:val="22"/>
          <w:lang w:val="it-IT" w:eastAsia="en-US"/>
        </w:rPr>
        <w:t xml:space="preserve"> definitivamente</w:t>
      </w:r>
      <w:r w:rsidR="00BC2BAE" w:rsidRPr="00777626">
        <w:rPr>
          <w:rFonts w:asciiTheme="minorHAnsi" w:eastAsiaTheme="minorHAnsi" w:hAnsiTheme="minorHAnsi" w:cstheme="minorHAnsi"/>
          <w:bCs/>
          <w:color w:val="000000"/>
          <w:sz w:val="22"/>
          <w:szCs w:val="22"/>
          <w:lang w:val="it-IT" w:eastAsia="en-US"/>
        </w:rPr>
        <w:t xml:space="preserve"> dal Consiglio dei Ministri. </w:t>
      </w:r>
    </w:p>
    <w:p w14:paraId="018ACE2D" w14:textId="77777777" w:rsidR="001B4D17" w:rsidRPr="00777626" w:rsidRDefault="001B4D17" w:rsidP="00777626">
      <w:pPr>
        <w:pStyle w:val="NormaleWeb"/>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p>
    <w:p w14:paraId="15D1C6FB" w14:textId="7C8BB75B" w:rsidR="00AD3264" w:rsidRPr="00777626" w:rsidRDefault="001A5773" w:rsidP="00777626">
      <w:pPr>
        <w:pStyle w:val="Paragrafoelenco"/>
        <w:numPr>
          <w:ilvl w:val="0"/>
          <w:numId w:val="19"/>
        </w:numPr>
        <w:spacing w:before="120" w:after="120" w:line="240" w:lineRule="auto"/>
        <w:ind w:left="714" w:hanging="357"/>
        <w:contextualSpacing w:val="0"/>
        <w:jc w:val="both"/>
        <w:rPr>
          <w:rFonts w:cstheme="minorHAnsi"/>
          <w:b/>
          <w:color w:val="000000"/>
        </w:rPr>
      </w:pPr>
      <w:r w:rsidRPr="001A5773">
        <w:rPr>
          <w:rFonts w:cstheme="minorHAnsi"/>
          <w:b/>
          <w:color w:val="000000"/>
        </w:rPr>
        <w:t>PREVISIONI RILEVANTI CONTENUTE NELLO SCHEMA DI DECRETO</w:t>
      </w:r>
    </w:p>
    <w:p w14:paraId="502CEC6F" w14:textId="77777777" w:rsidR="004A17AB" w:rsidRDefault="00AD3264" w:rsidP="001A5773">
      <w:pPr>
        <w:pStyle w:val="NormaleWeb"/>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Lo schema di decreto legislativo si compone di 14 articoli</w:t>
      </w:r>
      <w:r w:rsidR="004E4BC7" w:rsidRPr="00777626">
        <w:rPr>
          <w:rFonts w:asciiTheme="minorHAnsi" w:eastAsiaTheme="minorHAnsi" w:hAnsiTheme="minorHAnsi" w:cstheme="minorHAnsi"/>
          <w:bCs/>
          <w:color w:val="000000"/>
          <w:sz w:val="22"/>
          <w:szCs w:val="22"/>
          <w:lang w:val="it-IT" w:eastAsia="en-US"/>
        </w:rPr>
        <w:t xml:space="preserve">. </w:t>
      </w:r>
    </w:p>
    <w:p w14:paraId="5FDC64BB" w14:textId="7A71A549" w:rsidR="00BC2BAE" w:rsidRPr="00777626" w:rsidRDefault="004E4BC7" w:rsidP="00777626">
      <w:pPr>
        <w:pStyle w:val="NormaleWeb"/>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Tra questi si segnalano</w:t>
      </w:r>
      <w:r w:rsidR="00C62FA4" w:rsidRPr="00777626">
        <w:rPr>
          <w:rFonts w:asciiTheme="minorHAnsi" w:eastAsiaTheme="minorHAnsi" w:hAnsiTheme="minorHAnsi" w:cstheme="minorHAnsi"/>
          <w:bCs/>
          <w:color w:val="000000"/>
          <w:sz w:val="22"/>
          <w:szCs w:val="22"/>
          <w:lang w:val="it-IT" w:eastAsia="en-US"/>
        </w:rPr>
        <w:t xml:space="preserve"> </w:t>
      </w:r>
      <w:r w:rsidR="004F04E8">
        <w:rPr>
          <w:rFonts w:asciiTheme="minorHAnsi" w:eastAsiaTheme="minorHAnsi" w:hAnsiTheme="minorHAnsi" w:cstheme="minorHAnsi"/>
          <w:bCs/>
          <w:color w:val="000000"/>
          <w:sz w:val="22"/>
          <w:szCs w:val="22"/>
          <w:lang w:val="it-IT" w:eastAsia="en-US"/>
        </w:rPr>
        <w:t>le previsioni</w:t>
      </w:r>
      <w:r w:rsidR="00C62FA4" w:rsidRPr="00777626">
        <w:rPr>
          <w:rFonts w:asciiTheme="minorHAnsi" w:eastAsiaTheme="minorHAnsi" w:hAnsiTheme="minorHAnsi" w:cstheme="minorHAnsi"/>
          <w:bCs/>
          <w:color w:val="000000"/>
          <w:sz w:val="22"/>
          <w:szCs w:val="22"/>
          <w:lang w:val="it-IT" w:eastAsia="en-US"/>
        </w:rPr>
        <w:t xml:space="preserve"> di maggior interesse per AIFA:</w:t>
      </w:r>
    </w:p>
    <w:p w14:paraId="68DC14C2" w14:textId="77777777" w:rsidR="001B4D17" w:rsidRPr="00777626" w:rsidRDefault="001B4D17" w:rsidP="00777626">
      <w:pPr>
        <w:pStyle w:val="NormaleWeb"/>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p>
    <w:p w14:paraId="64AC7C98" w14:textId="77777777" w:rsidR="00E119D6" w:rsidRPr="00777626" w:rsidRDefault="00E119D6" w:rsidP="00777626">
      <w:pPr>
        <w:pStyle w:val="NormaleWeb"/>
        <w:numPr>
          <w:ilvl w:val="0"/>
          <w:numId w:val="22"/>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
          <w:color w:val="000000"/>
          <w:sz w:val="22"/>
          <w:szCs w:val="22"/>
          <w:lang w:val="it-IT" w:eastAsia="en-US"/>
        </w:rPr>
        <w:t>L’art. 3 (</w:t>
      </w:r>
      <w:r w:rsidRPr="00E151C4">
        <w:rPr>
          <w:rFonts w:asciiTheme="minorHAnsi" w:eastAsiaTheme="minorHAnsi" w:hAnsiTheme="minorHAnsi" w:cstheme="minorHAnsi"/>
          <w:b/>
          <w:i/>
          <w:iCs/>
          <w:color w:val="000000"/>
          <w:sz w:val="22"/>
          <w:szCs w:val="22"/>
          <w:lang w:val="it-IT" w:eastAsia="en-US"/>
        </w:rPr>
        <w:t>Specifiche tecniche dell’identificativo univoco e del sistema di prevenzione delle manomissioni</w:t>
      </w:r>
      <w:r w:rsidRPr="00777626">
        <w:rPr>
          <w:rFonts w:asciiTheme="minorHAnsi" w:eastAsiaTheme="minorHAnsi" w:hAnsiTheme="minorHAnsi" w:cstheme="minorHAnsi"/>
          <w:b/>
          <w:color w:val="000000"/>
          <w:sz w:val="22"/>
          <w:szCs w:val="22"/>
          <w:lang w:val="it-IT" w:eastAsia="en-US"/>
        </w:rPr>
        <w:t>)</w:t>
      </w:r>
      <w:r w:rsidRPr="00777626">
        <w:rPr>
          <w:rFonts w:asciiTheme="minorHAnsi" w:eastAsiaTheme="minorHAnsi" w:hAnsiTheme="minorHAnsi" w:cstheme="minorHAnsi"/>
          <w:bCs/>
          <w:color w:val="000000"/>
          <w:sz w:val="22"/>
          <w:szCs w:val="22"/>
          <w:lang w:val="it-IT" w:eastAsia="en-US"/>
        </w:rPr>
        <w:t>, dispone che dal 9 febbraio 2025:</w:t>
      </w:r>
    </w:p>
    <w:p w14:paraId="04B49CAF" w14:textId="02065FC5" w:rsidR="00E119D6" w:rsidRPr="00777626" w:rsidRDefault="00E119D6" w:rsidP="00777626">
      <w:pPr>
        <w:pStyle w:val="NormaleWeb"/>
        <w:numPr>
          <w:ilvl w:val="0"/>
          <w:numId w:val="23"/>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Tutti i medicinali per uso umano soggetti a prescrizione, salvo quelli che figurano nell'elenco di cui all'allegato I del Regolamento</w:t>
      </w:r>
      <w:r w:rsidRPr="00777626">
        <w:rPr>
          <w:rStyle w:val="Rimandonotaapidipagina"/>
          <w:rFonts w:asciiTheme="minorHAnsi" w:eastAsiaTheme="minorHAnsi" w:hAnsiTheme="minorHAnsi" w:cstheme="minorHAnsi"/>
          <w:bCs/>
          <w:color w:val="000000"/>
          <w:sz w:val="22"/>
          <w:szCs w:val="22"/>
          <w:lang w:val="it-IT" w:eastAsia="en-US"/>
        </w:rPr>
        <w:footnoteReference w:id="6"/>
      </w:r>
      <w:r w:rsidRPr="00777626">
        <w:rPr>
          <w:rFonts w:asciiTheme="minorHAnsi" w:eastAsiaTheme="minorHAnsi" w:hAnsiTheme="minorHAnsi" w:cstheme="minorHAnsi"/>
          <w:bCs/>
          <w:color w:val="000000"/>
          <w:sz w:val="22"/>
          <w:szCs w:val="22"/>
          <w:lang w:val="it-IT" w:eastAsia="en-US"/>
        </w:rPr>
        <w:t xml:space="preserve">, e i medicinali non soggetti a prescrizione che figurano nell'elenco di cui all'allegato II del Regolamento (i.e. attualmente solo omeprazolo 20 e 40 mg) </w:t>
      </w:r>
      <w:r w:rsidR="004A17AB">
        <w:rPr>
          <w:rFonts w:asciiTheme="minorHAnsi" w:eastAsiaTheme="minorHAnsi" w:hAnsiTheme="minorHAnsi" w:cstheme="minorHAnsi"/>
          <w:bCs/>
          <w:color w:val="000000"/>
          <w:sz w:val="22"/>
          <w:szCs w:val="22"/>
          <w:lang w:val="it-IT" w:eastAsia="en-US"/>
        </w:rPr>
        <w:t>debbano recare</w:t>
      </w:r>
      <w:r w:rsidRPr="00777626">
        <w:rPr>
          <w:rFonts w:asciiTheme="minorHAnsi" w:eastAsiaTheme="minorHAnsi" w:hAnsiTheme="minorHAnsi" w:cstheme="minorHAnsi"/>
          <w:bCs/>
          <w:color w:val="000000"/>
          <w:sz w:val="22"/>
          <w:szCs w:val="22"/>
          <w:lang w:val="it-IT" w:eastAsia="en-US"/>
        </w:rPr>
        <w:t xml:space="preserve"> sull’imballaggio un identificativo univoco codificato in un codice a barre bidimensionale.</w:t>
      </w:r>
      <w:r w:rsidR="0010503F" w:rsidRPr="00777626">
        <w:rPr>
          <w:rFonts w:asciiTheme="minorHAnsi" w:eastAsiaTheme="minorHAnsi" w:hAnsiTheme="minorHAnsi" w:cstheme="minorHAnsi"/>
          <w:bCs/>
          <w:color w:val="000000"/>
          <w:sz w:val="22"/>
          <w:szCs w:val="22"/>
          <w:lang w:val="it-IT" w:eastAsia="en-US"/>
        </w:rPr>
        <w:t xml:space="preserve"> </w:t>
      </w:r>
    </w:p>
    <w:p w14:paraId="4208B3D5" w14:textId="41D1A903" w:rsidR="0010503F" w:rsidRPr="00B714A6" w:rsidRDefault="00E119D6" w:rsidP="001A5773">
      <w:pPr>
        <w:pStyle w:val="NormaleWeb"/>
        <w:numPr>
          <w:ilvl w:val="0"/>
          <w:numId w:val="23"/>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 xml:space="preserve">Tutti i medicinali per uso </w:t>
      </w:r>
      <w:r w:rsidRPr="00B714A6">
        <w:rPr>
          <w:rFonts w:asciiTheme="minorHAnsi" w:eastAsiaTheme="minorHAnsi" w:hAnsiTheme="minorHAnsi" w:cstheme="minorHAnsi"/>
          <w:bCs/>
          <w:color w:val="000000"/>
          <w:sz w:val="22"/>
          <w:szCs w:val="22"/>
          <w:lang w:val="it-IT" w:eastAsia="en-US"/>
        </w:rPr>
        <w:t xml:space="preserve">umano autorizzati in Italia </w:t>
      </w:r>
      <w:r w:rsidR="00CA6FBE" w:rsidRPr="00B714A6">
        <w:rPr>
          <w:rFonts w:asciiTheme="minorHAnsi" w:eastAsiaTheme="minorHAnsi" w:hAnsiTheme="minorHAnsi" w:cstheme="minorHAnsi"/>
          <w:bCs/>
          <w:color w:val="000000"/>
          <w:sz w:val="22"/>
          <w:szCs w:val="22"/>
          <w:lang w:val="it-IT" w:eastAsia="en-US"/>
        </w:rPr>
        <w:t>debbano recare</w:t>
      </w:r>
      <w:r w:rsidRPr="00B714A6">
        <w:rPr>
          <w:rFonts w:asciiTheme="minorHAnsi" w:eastAsiaTheme="minorHAnsi" w:hAnsiTheme="minorHAnsi" w:cstheme="minorHAnsi"/>
          <w:bCs/>
          <w:color w:val="000000"/>
          <w:sz w:val="22"/>
          <w:szCs w:val="22"/>
          <w:lang w:val="it-IT" w:eastAsia="en-US"/>
        </w:rPr>
        <w:t xml:space="preserve"> il sistema di prevenzione delle manomissioni, composto anche da dispositivo antimanomissione che è carta valori</w:t>
      </w:r>
      <w:r w:rsidR="00CA6FBE" w:rsidRPr="00B714A6">
        <w:rPr>
          <w:rStyle w:val="Rimandonotaapidipagina"/>
          <w:rFonts w:asciiTheme="minorHAnsi" w:eastAsiaTheme="minorHAnsi" w:hAnsiTheme="minorHAnsi" w:cstheme="minorHAnsi"/>
          <w:bCs/>
          <w:color w:val="000000"/>
          <w:sz w:val="22"/>
          <w:szCs w:val="22"/>
          <w:lang w:val="it-IT" w:eastAsia="en-US"/>
        </w:rPr>
        <w:footnoteReference w:id="7"/>
      </w:r>
      <w:r w:rsidR="0010503F" w:rsidRPr="00B714A6">
        <w:rPr>
          <w:rFonts w:asciiTheme="minorHAnsi" w:eastAsiaTheme="minorHAnsi" w:hAnsiTheme="minorHAnsi" w:cstheme="minorHAnsi"/>
          <w:bCs/>
          <w:color w:val="000000"/>
          <w:sz w:val="22"/>
          <w:szCs w:val="22"/>
          <w:lang w:val="it-IT" w:eastAsia="en-US"/>
        </w:rPr>
        <w:t xml:space="preserve">. </w:t>
      </w:r>
    </w:p>
    <w:p w14:paraId="1582A457" w14:textId="306ED96C" w:rsidR="004F04E8" w:rsidRPr="00B714A6" w:rsidRDefault="00E151C4" w:rsidP="00777626">
      <w:pPr>
        <w:pStyle w:val="NormaleWeb"/>
        <w:spacing w:before="0" w:beforeAutospacing="0" w:after="0" w:afterAutospacing="0"/>
        <w:ind w:left="708" w:right="-1"/>
        <w:jc w:val="both"/>
        <w:rPr>
          <w:rFonts w:asciiTheme="minorHAnsi" w:eastAsiaTheme="minorHAnsi" w:hAnsiTheme="minorHAnsi" w:cstheme="minorHAnsi"/>
          <w:bCs/>
          <w:color w:val="000000"/>
          <w:sz w:val="22"/>
          <w:szCs w:val="22"/>
          <w:lang w:val="it-IT" w:eastAsia="en-US"/>
        </w:rPr>
      </w:pPr>
      <w:r w:rsidRPr="00B714A6">
        <w:rPr>
          <w:rFonts w:asciiTheme="minorHAnsi" w:eastAsiaTheme="minorHAnsi" w:hAnsiTheme="minorHAnsi" w:cstheme="minorHAnsi"/>
          <w:bCs/>
          <w:color w:val="000000"/>
          <w:sz w:val="22"/>
          <w:szCs w:val="22"/>
          <w:lang w:val="it-IT" w:eastAsia="en-US"/>
        </w:rPr>
        <w:t>Alcun</w:t>
      </w:r>
      <w:r w:rsidR="004F04E8" w:rsidRPr="00B714A6">
        <w:rPr>
          <w:rFonts w:asciiTheme="minorHAnsi" w:eastAsiaTheme="minorHAnsi" w:hAnsiTheme="minorHAnsi" w:cstheme="minorHAnsi"/>
          <w:bCs/>
          <w:color w:val="000000"/>
          <w:sz w:val="22"/>
          <w:szCs w:val="22"/>
          <w:lang w:val="it-IT" w:eastAsia="en-US"/>
        </w:rPr>
        <w:t>e specifiche tecniche dell’identificativo univoco saranno individuate con un successivo decreto del Ministro della salute, da adottare entro trenta giorni dalla data di entrata in vigore dello Schema di Decreto legislativo. Inoltre, è consentito ai produttori, su autorizzazione dell’AIFA di includere informazioni diverse rispetto all’identificativo univoco nel codice a barre bidimensionale che lo contiene. La tipologia di informazioni è determinata con provvedimento di AIFA, da adottare entro 30 giorni dalla data di entrata in vigore dello Schema di Decreto legislativo.</w:t>
      </w:r>
    </w:p>
    <w:p w14:paraId="5AE03ED9" w14:textId="77777777" w:rsidR="001B4D17" w:rsidRPr="00B714A6" w:rsidRDefault="001B4D17" w:rsidP="00777626">
      <w:pPr>
        <w:pStyle w:val="NormaleWeb"/>
        <w:spacing w:before="0" w:beforeAutospacing="0" w:after="0" w:afterAutospacing="0"/>
        <w:ind w:left="1068" w:right="-1"/>
        <w:jc w:val="both"/>
        <w:rPr>
          <w:rFonts w:asciiTheme="minorHAnsi" w:eastAsiaTheme="minorHAnsi" w:hAnsiTheme="minorHAnsi" w:cstheme="minorHAnsi"/>
          <w:bCs/>
          <w:color w:val="000000"/>
          <w:sz w:val="22"/>
          <w:szCs w:val="22"/>
          <w:lang w:val="it-IT" w:eastAsia="en-US"/>
        </w:rPr>
      </w:pPr>
    </w:p>
    <w:p w14:paraId="77681CAC" w14:textId="12C8ADAD" w:rsidR="0010503F" w:rsidRPr="00B714A6" w:rsidRDefault="0010503F" w:rsidP="00777626">
      <w:pPr>
        <w:pStyle w:val="NormaleWeb"/>
        <w:numPr>
          <w:ilvl w:val="0"/>
          <w:numId w:val="22"/>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B714A6">
        <w:rPr>
          <w:rFonts w:asciiTheme="minorHAnsi" w:eastAsiaTheme="minorHAnsi" w:hAnsiTheme="minorHAnsi" w:cstheme="minorHAnsi"/>
          <w:bCs/>
          <w:color w:val="000000"/>
          <w:sz w:val="22"/>
          <w:szCs w:val="22"/>
          <w:lang w:val="it-IT" w:eastAsia="en-US"/>
        </w:rPr>
        <w:t>L’</w:t>
      </w:r>
      <w:r w:rsidRPr="00B714A6">
        <w:rPr>
          <w:rFonts w:asciiTheme="minorHAnsi" w:eastAsiaTheme="minorHAnsi" w:hAnsiTheme="minorHAnsi" w:cstheme="minorHAnsi"/>
          <w:b/>
          <w:color w:val="000000"/>
          <w:sz w:val="22"/>
          <w:szCs w:val="22"/>
          <w:lang w:val="it-IT" w:eastAsia="en-US"/>
        </w:rPr>
        <w:t>art. 4 (</w:t>
      </w:r>
      <w:r w:rsidRPr="00B714A6">
        <w:rPr>
          <w:rFonts w:asciiTheme="minorHAnsi" w:eastAsiaTheme="minorHAnsi" w:hAnsiTheme="minorHAnsi" w:cstheme="minorHAnsi"/>
          <w:b/>
          <w:i/>
          <w:iCs/>
          <w:color w:val="000000"/>
          <w:sz w:val="22"/>
          <w:szCs w:val="22"/>
          <w:lang w:val="it-IT" w:eastAsia="en-US"/>
        </w:rPr>
        <w:t>Misure specifiche e progressive finalizzate ad introdurre l’apposizione dell’identificativo univoco e del sistema di prevenzione delle manomissioni sulle confezioni dei medicinali</w:t>
      </w:r>
      <w:r w:rsidRPr="00B714A6">
        <w:rPr>
          <w:rFonts w:asciiTheme="minorHAnsi" w:eastAsiaTheme="minorHAnsi" w:hAnsiTheme="minorHAnsi" w:cstheme="minorHAnsi"/>
          <w:b/>
          <w:color w:val="000000"/>
          <w:sz w:val="22"/>
          <w:szCs w:val="22"/>
          <w:lang w:val="it-IT" w:eastAsia="en-US"/>
        </w:rPr>
        <w:t xml:space="preserve">) </w:t>
      </w:r>
      <w:r w:rsidRPr="00B714A6">
        <w:rPr>
          <w:rFonts w:asciiTheme="minorHAnsi" w:eastAsiaTheme="minorHAnsi" w:hAnsiTheme="minorHAnsi" w:cstheme="minorHAnsi"/>
          <w:bCs/>
          <w:color w:val="000000"/>
          <w:sz w:val="22"/>
          <w:szCs w:val="22"/>
          <w:lang w:val="it-IT" w:eastAsia="en-US"/>
        </w:rPr>
        <w:t>dispone che entro trenta giorni dalla data di entrata in vigore dello Schema di Decreto legislativo, l’AIFA adotta le istruzioni applicative</w:t>
      </w:r>
      <w:r w:rsidR="00E70BE3" w:rsidRPr="00B714A6">
        <w:rPr>
          <w:rFonts w:asciiTheme="minorHAnsi" w:eastAsiaTheme="minorHAnsi" w:hAnsiTheme="minorHAnsi" w:cstheme="minorHAnsi"/>
          <w:bCs/>
          <w:color w:val="000000"/>
          <w:sz w:val="22"/>
          <w:szCs w:val="22"/>
          <w:lang w:val="it-IT" w:eastAsia="en-US"/>
        </w:rPr>
        <w:t xml:space="preserve"> (“</w:t>
      </w:r>
      <w:r w:rsidR="00E70BE3" w:rsidRPr="00B714A6">
        <w:rPr>
          <w:rFonts w:asciiTheme="minorHAnsi" w:eastAsiaTheme="minorHAnsi" w:hAnsiTheme="minorHAnsi" w:cstheme="minorHAnsi"/>
          <w:b/>
          <w:color w:val="000000"/>
          <w:sz w:val="22"/>
          <w:szCs w:val="22"/>
          <w:lang w:val="it-IT" w:eastAsia="en-US"/>
        </w:rPr>
        <w:t>Istruzioni</w:t>
      </w:r>
      <w:r w:rsidR="00E70BE3" w:rsidRPr="00B714A6">
        <w:rPr>
          <w:rFonts w:asciiTheme="minorHAnsi" w:eastAsiaTheme="minorHAnsi" w:hAnsiTheme="minorHAnsi" w:cstheme="minorHAnsi"/>
          <w:bCs/>
          <w:color w:val="000000"/>
          <w:sz w:val="22"/>
          <w:szCs w:val="22"/>
          <w:lang w:val="it-IT" w:eastAsia="en-US"/>
        </w:rPr>
        <w:t>”)</w:t>
      </w:r>
      <w:r w:rsidRPr="00B714A6">
        <w:rPr>
          <w:rFonts w:asciiTheme="minorHAnsi" w:eastAsiaTheme="minorHAnsi" w:hAnsiTheme="minorHAnsi" w:cstheme="minorHAnsi"/>
          <w:bCs/>
          <w:color w:val="000000"/>
          <w:sz w:val="22"/>
          <w:szCs w:val="22"/>
          <w:lang w:val="it-IT" w:eastAsia="en-US"/>
        </w:rPr>
        <w:t xml:space="preserve"> relative alle modalità per adempiere agli obblighi previsti </w:t>
      </w:r>
      <w:r w:rsidRPr="00B714A6">
        <w:rPr>
          <w:rFonts w:asciiTheme="minorHAnsi" w:eastAsiaTheme="minorHAnsi" w:hAnsiTheme="minorHAnsi" w:cstheme="minorHAnsi"/>
          <w:bCs/>
          <w:color w:val="000000"/>
          <w:sz w:val="22"/>
          <w:szCs w:val="22"/>
          <w:lang w:val="it-IT" w:eastAsia="en-US"/>
        </w:rPr>
        <w:lastRenderedPageBreak/>
        <w:t>dal Regolamento, anche relativamente ai medicinali di importazione e distribuzione parallela</w:t>
      </w:r>
      <w:r w:rsidR="00CA6FBE" w:rsidRPr="00B714A6">
        <w:rPr>
          <w:rFonts w:asciiTheme="minorHAnsi" w:eastAsiaTheme="minorHAnsi" w:hAnsiTheme="minorHAnsi" w:cstheme="minorHAnsi"/>
          <w:bCs/>
          <w:color w:val="000000"/>
          <w:sz w:val="22"/>
          <w:szCs w:val="22"/>
          <w:lang w:val="it-IT" w:eastAsia="en-US"/>
        </w:rPr>
        <w:t>. Nello specifico</w:t>
      </w:r>
      <w:r w:rsidR="005A1096" w:rsidRPr="00B714A6">
        <w:rPr>
          <w:rFonts w:asciiTheme="minorHAnsi" w:eastAsiaTheme="minorHAnsi" w:hAnsiTheme="minorHAnsi" w:cstheme="minorHAnsi"/>
          <w:bCs/>
          <w:color w:val="000000"/>
          <w:sz w:val="22"/>
          <w:szCs w:val="22"/>
          <w:lang w:val="it-IT" w:eastAsia="en-US"/>
        </w:rPr>
        <w:t>, riprendendo e istruzioni operative già pubblicate a suo tempo dal CMDh, l’articolo prevede</w:t>
      </w:r>
      <w:r w:rsidRPr="00B714A6">
        <w:rPr>
          <w:rFonts w:asciiTheme="minorHAnsi" w:eastAsiaTheme="minorHAnsi" w:hAnsiTheme="minorHAnsi" w:cstheme="minorHAnsi"/>
          <w:bCs/>
          <w:color w:val="000000"/>
          <w:sz w:val="22"/>
          <w:szCs w:val="22"/>
          <w:lang w:val="it-IT" w:eastAsia="en-US"/>
        </w:rPr>
        <w:t xml:space="preserve">: </w:t>
      </w:r>
    </w:p>
    <w:p w14:paraId="19013552" w14:textId="15063442" w:rsidR="0010503F" w:rsidRPr="00777626" w:rsidRDefault="00CA6FBE" w:rsidP="00777626">
      <w:pPr>
        <w:pStyle w:val="NormaleWeb"/>
        <w:numPr>
          <w:ilvl w:val="1"/>
          <w:numId w:val="22"/>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B714A6">
        <w:rPr>
          <w:rFonts w:asciiTheme="minorHAnsi" w:eastAsiaTheme="minorHAnsi" w:hAnsiTheme="minorHAnsi" w:cstheme="minorHAnsi"/>
          <w:bCs/>
          <w:color w:val="000000"/>
          <w:sz w:val="22"/>
          <w:szCs w:val="22"/>
          <w:u w:val="single"/>
          <w:lang w:val="it-IT" w:eastAsia="en-US"/>
        </w:rPr>
        <w:t>Per le nuove AIC</w:t>
      </w:r>
      <w:r w:rsidRPr="00B714A6">
        <w:rPr>
          <w:rFonts w:asciiTheme="minorHAnsi" w:eastAsiaTheme="minorHAnsi" w:hAnsiTheme="minorHAnsi" w:cstheme="minorHAnsi"/>
          <w:bCs/>
          <w:color w:val="000000"/>
          <w:sz w:val="22"/>
          <w:szCs w:val="22"/>
          <w:lang w:val="it-IT" w:eastAsia="en-US"/>
        </w:rPr>
        <w:t xml:space="preserve">: A decorrere da tale data di pubblicazione delle </w:t>
      </w:r>
      <w:r w:rsidR="00E70BE3" w:rsidRPr="00B714A6">
        <w:rPr>
          <w:rFonts w:asciiTheme="minorHAnsi" w:eastAsiaTheme="minorHAnsi" w:hAnsiTheme="minorHAnsi" w:cstheme="minorHAnsi"/>
          <w:bCs/>
          <w:color w:val="000000"/>
          <w:sz w:val="22"/>
          <w:szCs w:val="22"/>
          <w:lang w:val="it-IT" w:eastAsia="en-US"/>
        </w:rPr>
        <w:t>I</w:t>
      </w:r>
      <w:r w:rsidRPr="00B714A6">
        <w:rPr>
          <w:rFonts w:asciiTheme="minorHAnsi" w:eastAsiaTheme="minorHAnsi" w:hAnsiTheme="minorHAnsi" w:cstheme="minorHAnsi"/>
          <w:bCs/>
          <w:color w:val="000000"/>
          <w:sz w:val="22"/>
          <w:szCs w:val="22"/>
          <w:lang w:val="it-IT" w:eastAsia="en-US"/>
        </w:rPr>
        <w:t xml:space="preserve">struzioni, </w:t>
      </w:r>
      <w:r w:rsidR="0010503F" w:rsidRPr="00B714A6">
        <w:rPr>
          <w:rFonts w:asciiTheme="minorHAnsi" w:eastAsiaTheme="minorHAnsi" w:hAnsiTheme="minorHAnsi" w:cstheme="minorHAnsi"/>
          <w:bCs/>
          <w:color w:val="000000"/>
          <w:sz w:val="22"/>
          <w:szCs w:val="22"/>
          <w:lang w:val="it-IT" w:eastAsia="en-US"/>
        </w:rPr>
        <w:t xml:space="preserve">l’istanza per il rilascio di una nuova </w:t>
      </w:r>
      <w:r w:rsidR="00E151C4" w:rsidRPr="00B714A6">
        <w:rPr>
          <w:rFonts w:asciiTheme="minorHAnsi" w:eastAsiaTheme="minorHAnsi" w:hAnsiTheme="minorHAnsi" w:cstheme="minorHAnsi"/>
          <w:bCs/>
          <w:color w:val="000000"/>
          <w:sz w:val="22"/>
          <w:szCs w:val="22"/>
          <w:lang w:val="it-IT" w:eastAsia="en-US"/>
        </w:rPr>
        <w:t>AIC</w:t>
      </w:r>
      <w:r w:rsidR="0010503F" w:rsidRPr="00B714A6">
        <w:rPr>
          <w:rFonts w:asciiTheme="minorHAnsi" w:eastAsiaTheme="minorHAnsi" w:hAnsiTheme="minorHAnsi" w:cstheme="minorHAnsi"/>
          <w:bCs/>
          <w:color w:val="000000"/>
          <w:sz w:val="22"/>
          <w:szCs w:val="22"/>
          <w:lang w:val="it-IT" w:eastAsia="en-US"/>
        </w:rPr>
        <w:t>, deve riportare anche le informazioni relative</w:t>
      </w:r>
      <w:r w:rsidR="0010503F" w:rsidRPr="00777626">
        <w:rPr>
          <w:rFonts w:asciiTheme="minorHAnsi" w:eastAsiaTheme="minorHAnsi" w:hAnsiTheme="minorHAnsi" w:cstheme="minorHAnsi"/>
          <w:bCs/>
          <w:color w:val="000000"/>
          <w:sz w:val="22"/>
          <w:szCs w:val="22"/>
          <w:lang w:val="it-IT" w:eastAsia="en-US"/>
        </w:rPr>
        <w:t xml:space="preserve"> all’identificativo univoco e al sistema di prevenzione delle manomissioni ove lo stesso impatta sul contenitore primario, sul sistema di chiusura ovvero sulla leggibilità delle informazioni inserite in etichetta se apposto sul confezionamento secondario</w:t>
      </w:r>
      <w:r w:rsidRPr="00CA6FBE">
        <w:rPr>
          <w:rFonts w:asciiTheme="minorHAnsi" w:eastAsiaTheme="minorHAnsi" w:hAnsiTheme="minorHAnsi" w:cstheme="minorHAnsi"/>
          <w:bCs/>
          <w:color w:val="000000"/>
          <w:sz w:val="22"/>
          <w:szCs w:val="22"/>
          <w:lang w:val="it-IT" w:eastAsia="en-US"/>
        </w:rPr>
        <w:t xml:space="preserve"> </w:t>
      </w:r>
      <w:r>
        <w:rPr>
          <w:rFonts w:asciiTheme="minorHAnsi" w:eastAsiaTheme="minorHAnsi" w:hAnsiTheme="minorHAnsi" w:cstheme="minorHAnsi"/>
          <w:bCs/>
          <w:color w:val="000000"/>
          <w:sz w:val="22"/>
          <w:szCs w:val="22"/>
          <w:lang w:val="it-IT" w:eastAsia="en-US"/>
        </w:rPr>
        <w:t>mentre l’istanza delle</w:t>
      </w:r>
      <w:r w:rsidRPr="00CA6FBE">
        <w:rPr>
          <w:rFonts w:asciiTheme="minorHAnsi" w:eastAsiaTheme="minorHAnsi" w:hAnsiTheme="minorHAnsi" w:cstheme="minorHAnsi"/>
          <w:bCs/>
          <w:color w:val="000000"/>
          <w:sz w:val="22"/>
          <w:szCs w:val="22"/>
          <w:lang w:val="it-IT" w:eastAsia="en-US"/>
        </w:rPr>
        <w:t xml:space="preserve"> </w:t>
      </w:r>
      <w:r w:rsidR="0010503F" w:rsidRPr="00777626">
        <w:rPr>
          <w:rFonts w:asciiTheme="minorHAnsi" w:eastAsiaTheme="minorHAnsi" w:hAnsiTheme="minorHAnsi" w:cstheme="minorHAnsi"/>
          <w:bCs/>
          <w:color w:val="000000"/>
          <w:sz w:val="22"/>
          <w:szCs w:val="22"/>
          <w:lang w:val="it-IT" w:eastAsia="en-US"/>
        </w:rPr>
        <w:t xml:space="preserve">procedure di rilascio dell’AIC in atto, </w:t>
      </w:r>
      <w:r w:rsidRPr="00CA6FBE">
        <w:rPr>
          <w:rFonts w:asciiTheme="minorHAnsi" w:eastAsiaTheme="minorHAnsi" w:hAnsiTheme="minorHAnsi" w:cstheme="minorHAnsi"/>
          <w:bCs/>
          <w:color w:val="000000"/>
          <w:sz w:val="22"/>
          <w:szCs w:val="22"/>
          <w:lang w:val="it-IT" w:eastAsia="en-US"/>
        </w:rPr>
        <w:t>deve essere</w:t>
      </w:r>
      <w:r>
        <w:rPr>
          <w:rFonts w:asciiTheme="minorHAnsi" w:eastAsiaTheme="minorHAnsi" w:hAnsiTheme="minorHAnsi" w:cstheme="minorHAnsi"/>
          <w:bCs/>
          <w:color w:val="000000"/>
          <w:sz w:val="22"/>
          <w:szCs w:val="22"/>
          <w:lang w:val="it-IT" w:eastAsia="en-US"/>
        </w:rPr>
        <w:t xml:space="preserve"> conseguentemente</w:t>
      </w:r>
      <w:r w:rsidR="0010503F" w:rsidRPr="00777626">
        <w:rPr>
          <w:rFonts w:asciiTheme="minorHAnsi" w:eastAsiaTheme="minorHAnsi" w:hAnsiTheme="minorHAnsi" w:cstheme="minorHAnsi"/>
          <w:bCs/>
          <w:color w:val="000000"/>
          <w:sz w:val="22"/>
          <w:szCs w:val="22"/>
          <w:lang w:val="it-IT" w:eastAsia="en-US"/>
        </w:rPr>
        <w:t xml:space="preserve"> integrata in corso di procedura</w:t>
      </w:r>
      <w:r w:rsidRPr="00CA6FBE">
        <w:rPr>
          <w:rFonts w:asciiTheme="minorHAnsi" w:eastAsiaTheme="minorHAnsi" w:hAnsiTheme="minorHAnsi" w:cstheme="minorHAnsi"/>
          <w:bCs/>
          <w:color w:val="000000"/>
          <w:sz w:val="22"/>
          <w:szCs w:val="22"/>
          <w:lang w:val="it-IT" w:eastAsia="en-US"/>
        </w:rPr>
        <w:t>;</w:t>
      </w:r>
      <w:r w:rsidR="0010503F" w:rsidRPr="00777626">
        <w:rPr>
          <w:rFonts w:asciiTheme="minorHAnsi" w:eastAsiaTheme="minorHAnsi" w:hAnsiTheme="minorHAnsi" w:cstheme="minorHAnsi"/>
          <w:bCs/>
          <w:color w:val="000000"/>
          <w:sz w:val="22"/>
          <w:szCs w:val="22"/>
          <w:lang w:val="it-IT" w:eastAsia="en-US"/>
        </w:rPr>
        <w:t xml:space="preserve"> </w:t>
      </w:r>
    </w:p>
    <w:p w14:paraId="6038EA33" w14:textId="7DB30293" w:rsidR="00CA6FBE" w:rsidRDefault="00CA6FBE" w:rsidP="001A5773">
      <w:pPr>
        <w:pStyle w:val="NormaleWeb"/>
        <w:numPr>
          <w:ilvl w:val="1"/>
          <w:numId w:val="22"/>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u w:val="single"/>
          <w:lang w:val="it-IT" w:eastAsia="en-US"/>
        </w:rPr>
        <w:t xml:space="preserve">Per le AIC </w:t>
      </w:r>
      <w:r w:rsidR="00E70BE3" w:rsidRPr="00E70BE3">
        <w:rPr>
          <w:rFonts w:asciiTheme="minorHAnsi" w:eastAsiaTheme="minorHAnsi" w:hAnsiTheme="minorHAnsi" w:cstheme="minorHAnsi"/>
          <w:bCs/>
          <w:color w:val="000000"/>
          <w:sz w:val="22"/>
          <w:szCs w:val="22"/>
          <w:u w:val="single"/>
          <w:lang w:val="it-IT" w:eastAsia="en-US"/>
        </w:rPr>
        <w:t>rilasciate prima della data di entrata in vigore dello Schema di Decreto Legislativo</w:t>
      </w:r>
      <w:r>
        <w:rPr>
          <w:rFonts w:asciiTheme="minorHAnsi" w:eastAsiaTheme="minorHAnsi" w:hAnsiTheme="minorHAnsi" w:cstheme="minorHAnsi"/>
          <w:bCs/>
          <w:color w:val="000000"/>
          <w:sz w:val="22"/>
          <w:szCs w:val="22"/>
          <w:lang w:val="it-IT" w:eastAsia="en-US"/>
        </w:rPr>
        <w:t xml:space="preserve">: </w:t>
      </w:r>
    </w:p>
    <w:p w14:paraId="7B54E3C5" w14:textId="77777777" w:rsidR="00CA6FBE" w:rsidRDefault="0010503F" w:rsidP="00CA6FBE">
      <w:pPr>
        <w:pStyle w:val="NormaleWeb"/>
        <w:numPr>
          <w:ilvl w:val="2"/>
          <w:numId w:val="22"/>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 xml:space="preserve">Nel caso in cui siano in corso di valutazione da parte dell’AIFA procedure di rinnovo o di variazione con impatto sugli stampati, i titolari di AIC </w:t>
      </w:r>
      <w:r w:rsidR="00CA6FBE">
        <w:rPr>
          <w:rFonts w:asciiTheme="minorHAnsi" w:eastAsiaTheme="minorHAnsi" w:hAnsiTheme="minorHAnsi" w:cstheme="minorHAnsi"/>
          <w:bCs/>
          <w:color w:val="000000"/>
          <w:sz w:val="22"/>
          <w:szCs w:val="22"/>
          <w:lang w:val="it-IT" w:eastAsia="en-US"/>
        </w:rPr>
        <w:t>potranno</w:t>
      </w:r>
      <w:r w:rsidRPr="00777626">
        <w:rPr>
          <w:rFonts w:asciiTheme="minorHAnsi" w:eastAsiaTheme="minorHAnsi" w:hAnsiTheme="minorHAnsi" w:cstheme="minorHAnsi"/>
          <w:bCs/>
          <w:color w:val="000000"/>
          <w:sz w:val="22"/>
          <w:szCs w:val="22"/>
          <w:lang w:val="it-IT" w:eastAsia="en-US"/>
        </w:rPr>
        <w:t xml:space="preserve"> conformarsi alla disciplina relativa all’identificativo univoco nell’ambito delle suddette procedure, mediante integrazione dell’istanza</w:t>
      </w:r>
      <w:r w:rsidR="00CA6FBE">
        <w:rPr>
          <w:rFonts w:asciiTheme="minorHAnsi" w:eastAsiaTheme="minorHAnsi" w:hAnsiTheme="minorHAnsi" w:cstheme="minorHAnsi"/>
          <w:bCs/>
          <w:color w:val="000000"/>
          <w:sz w:val="22"/>
          <w:szCs w:val="22"/>
          <w:lang w:val="it-IT" w:eastAsia="en-US"/>
        </w:rPr>
        <w:t>;</w:t>
      </w:r>
    </w:p>
    <w:p w14:paraId="0A778C47" w14:textId="524EBD93" w:rsidR="00BC2BAE" w:rsidRPr="00777626" w:rsidRDefault="0010503F" w:rsidP="00777626">
      <w:pPr>
        <w:pStyle w:val="NormaleWeb"/>
        <w:numPr>
          <w:ilvl w:val="2"/>
          <w:numId w:val="22"/>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 xml:space="preserve">I titolari di AIC </w:t>
      </w:r>
      <w:r w:rsidR="00CA6FBE" w:rsidRPr="00E70BE3">
        <w:rPr>
          <w:rFonts w:asciiTheme="minorHAnsi" w:eastAsiaTheme="minorHAnsi" w:hAnsiTheme="minorHAnsi" w:cstheme="minorHAnsi"/>
          <w:bCs/>
          <w:color w:val="000000"/>
          <w:sz w:val="22"/>
          <w:szCs w:val="22"/>
          <w:lang w:val="it-IT" w:eastAsia="en-US"/>
        </w:rPr>
        <w:t>devono adeguarsi</w:t>
      </w:r>
      <w:r w:rsidRPr="00777626">
        <w:rPr>
          <w:rFonts w:asciiTheme="minorHAnsi" w:eastAsiaTheme="minorHAnsi" w:hAnsiTheme="minorHAnsi" w:cstheme="minorHAnsi"/>
          <w:bCs/>
          <w:color w:val="000000"/>
          <w:sz w:val="22"/>
          <w:szCs w:val="22"/>
          <w:lang w:val="it-IT" w:eastAsia="en-US"/>
        </w:rPr>
        <w:t xml:space="preserve"> alla disciplina relativa all’identificativo univoco mediante presentazione, </w:t>
      </w:r>
      <w:r w:rsidRPr="00777626">
        <w:rPr>
          <w:rFonts w:asciiTheme="minorHAnsi" w:eastAsiaTheme="minorHAnsi" w:hAnsiTheme="minorHAnsi" w:cstheme="minorHAnsi"/>
          <w:bCs/>
          <w:color w:val="000000"/>
          <w:sz w:val="22"/>
          <w:szCs w:val="22"/>
          <w:u w:val="single"/>
          <w:lang w:val="it-IT" w:eastAsia="en-US"/>
        </w:rPr>
        <w:t>entro e non oltre la data del 9 novembre 2024</w:t>
      </w:r>
      <w:r w:rsidRPr="00777626">
        <w:rPr>
          <w:rFonts w:asciiTheme="minorHAnsi" w:eastAsiaTheme="minorHAnsi" w:hAnsiTheme="minorHAnsi" w:cstheme="minorHAnsi"/>
          <w:bCs/>
          <w:color w:val="000000"/>
          <w:sz w:val="22"/>
          <w:szCs w:val="22"/>
          <w:lang w:val="it-IT" w:eastAsia="en-US"/>
        </w:rPr>
        <w:t>, di una notifica all’AIFA, ai sensi dell’articolo 78 del decreto legislativo 24 aprile 2006, n. 219</w:t>
      </w:r>
      <w:r w:rsidR="00E70BE3" w:rsidRPr="00E70BE3">
        <w:rPr>
          <w:rFonts w:asciiTheme="minorHAnsi" w:eastAsiaTheme="minorHAnsi" w:hAnsiTheme="minorHAnsi" w:cstheme="minorHAnsi"/>
          <w:bCs/>
          <w:color w:val="000000"/>
          <w:sz w:val="22"/>
          <w:szCs w:val="22"/>
          <w:lang w:val="it-IT" w:eastAsia="en-US"/>
        </w:rPr>
        <w:t>. Suddetta notifica deve essere presentata</w:t>
      </w:r>
      <w:r w:rsidRPr="00777626">
        <w:rPr>
          <w:rFonts w:asciiTheme="minorHAnsi" w:eastAsiaTheme="minorHAnsi" w:hAnsiTheme="minorHAnsi" w:cstheme="minorHAnsi"/>
          <w:bCs/>
          <w:color w:val="000000"/>
          <w:sz w:val="22"/>
          <w:szCs w:val="22"/>
          <w:lang w:val="it-IT" w:eastAsia="en-US"/>
        </w:rPr>
        <w:t xml:space="preserve"> </w:t>
      </w:r>
      <w:r w:rsidR="00E70BE3" w:rsidRPr="00E70BE3">
        <w:rPr>
          <w:rFonts w:asciiTheme="minorHAnsi" w:eastAsiaTheme="minorHAnsi" w:hAnsiTheme="minorHAnsi" w:cstheme="minorHAnsi"/>
          <w:bCs/>
          <w:color w:val="000000"/>
          <w:sz w:val="22"/>
          <w:szCs w:val="22"/>
          <w:lang w:val="it-IT" w:eastAsia="en-US"/>
        </w:rPr>
        <w:t xml:space="preserve">anche </w:t>
      </w:r>
      <w:r w:rsidRPr="00777626">
        <w:rPr>
          <w:rFonts w:asciiTheme="minorHAnsi" w:eastAsiaTheme="minorHAnsi" w:hAnsiTheme="minorHAnsi" w:cstheme="minorHAnsi"/>
          <w:bCs/>
          <w:color w:val="000000"/>
          <w:sz w:val="22"/>
          <w:szCs w:val="22"/>
          <w:lang w:val="it-IT" w:eastAsia="en-US"/>
        </w:rPr>
        <w:t>nel caso in cui il sistema di prevenzione delle manomissioni apposto sul confezionamento secondario impatti sulla leggibilità delle informazioni inserite in etichetta</w:t>
      </w:r>
      <w:r w:rsidR="00E70BE3" w:rsidRPr="00E70BE3">
        <w:rPr>
          <w:rFonts w:asciiTheme="minorHAnsi" w:eastAsiaTheme="minorHAnsi" w:hAnsiTheme="minorHAnsi" w:cstheme="minorHAnsi"/>
          <w:bCs/>
          <w:color w:val="000000"/>
          <w:sz w:val="22"/>
          <w:szCs w:val="22"/>
          <w:lang w:val="it-IT" w:eastAsia="en-US"/>
        </w:rPr>
        <w:t xml:space="preserve">. </w:t>
      </w:r>
      <w:r w:rsidR="00CA6FBE" w:rsidRPr="00E70BE3">
        <w:rPr>
          <w:rFonts w:asciiTheme="minorHAnsi" w:eastAsiaTheme="minorHAnsi" w:hAnsiTheme="minorHAnsi" w:cstheme="minorHAnsi"/>
          <w:bCs/>
          <w:color w:val="000000"/>
          <w:sz w:val="22"/>
          <w:szCs w:val="22"/>
          <w:lang w:val="it-IT" w:eastAsia="en-US"/>
        </w:rPr>
        <w:t>In base a tale procedura di notifica, la proposta di modifica si intende approvata se l'AIFA non si pronuncia in senso contrario al progetto di modifica entro novanta giorni dalla data di presentazione della domanda.</w:t>
      </w:r>
      <w:r w:rsidR="00E70BE3" w:rsidRPr="00E70BE3">
        <w:rPr>
          <w:rFonts w:asciiTheme="minorHAnsi" w:eastAsiaTheme="minorHAnsi" w:hAnsiTheme="minorHAnsi" w:cstheme="minorHAnsi"/>
          <w:bCs/>
          <w:color w:val="000000"/>
          <w:sz w:val="22"/>
          <w:szCs w:val="22"/>
          <w:lang w:val="it-IT" w:eastAsia="en-US"/>
        </w:rPr>
        <w:t xml:space="preserve"> </w:t>
      </w:r>
      <w:r w:rsidR="00E70BE3">
        <w:rPr>
          <w:rFonts w:asciiTheme="minorHAnsi" w:eastAsiaTheme="minorHAnsi" w:hAnsiTheme="minorHAnsi" w:cstheme="minorHAnsi"/>
          <w:bCs/>
          <w:color w:val="000000"/>
          <w:sz w:val="22"/>
          <w:szCs w:val="22"/>
          <w:lang w:val="it-IT" w:eastAsia="en-US"/>
        </w:rPr>
        <w:t>Invece, n</w:t>
      </w:r>
      <w:r w:rsidRPr="00777626">
        <w:rPr>
          <w:rFonts w:asciiTheme="minorHAnsi" w:eastAsiaTheme="minorHAnsi" w:hAnsiTheme="minorHAnsi" w:cstheme="minorHAnsi"/>
          <w:bCs/>
          <w:color w:val="000000"/>
          <w:sz w:val="22"/>
          <w:szCs w:val="22"/>
          <w:lang w:val="it-IT" w:eastAsia="en-US"/>
        </w:rPr>
        <w:t xml:space="preserve">el caso di medicinali privi di confezionamento secondario, il sistema di prevenzione delle manomissioni è apposto sul confezionamento primario e, qualora il sistema impatti sul contenitore primario o sul sistema di chiusura, i titolari di AIC </w:t>
      </w:r>
      <w:r w:rsidR="00E70BE3" w:rsidRPr="00E70BE3">
        <w:rPr>
          <w:rFonts w:asciiTheme="minorHAnsi" w:eastAsiaTheme="minorHAnsi" w:hAnsiTheme="minorHAnsi" w:cstheme="minorHAnsi"/>
          <w:bCs/>
          <w:color w:val="000000"/>
          <w:sz w:val="22"/>
          <w:szCs w:val="22"/>
          <w:lang w:val="it-IT" w:eastAsia="en-US"/>
        </w:rPr>
        <w:t>devono effettuare</w:t>
      </w:r>
      <w:r w:rsidRPr="00777626">
        <w:rPr>
          <w:rFonts w:asciiTheme="minorHAnsi" w:eastAsiaTheme="minorHAnsi" w:hAnsiTheme="minorHAnsi" w:cstheme="minorHAnsi"/>
          <w:bCs/>
          <w:color w:val="000000"/>
          <w:sz w:val="22"/>
          <w:szCs w:val="22"/>
          <w:lang w:val="it-IT" w:eastAsia="en-US"/>
        </w:rPr>
        <w:t xml:space="preserve"> una notifica di variazione all’AIFA, ai sensi del regolamento n. 1234/2008/CE della Commissione, del 24 novembre 2008, entro e non oltre la data del 9 novembre 2024. </w:t>
      </w:r>
    </w:p>
    <w:p w14:paraId="594F14AD" w14:textId="77777777" w:rsidR="001B4D17" w:rsidRPr="00777626" w:rsidRDefault="001B4D17" w:rsidP="00777626">
      <w:pPr>
        <w:pStyle w:val="NormaleWeb"/>
        <w:spacing w:before="0" w:beforeAutospacing="0" w:after="0" w:afterAutospacing="0"/>
        <w:ind w:left="1440" w:right="-1"/>
        <w:jc w:val="both"/>
        <w:rPr>
          <w:rFonts w:asciiTheme="minorHAnsi" w:eastAsiaTheme="minorHAnsi" w:hAnsiTheme="minorHAnsi" w:cstheme="minorHAnsi"/>
          <w:bCs/>
          <w:color w:val="000000"/>
          <w:sz w:val="22"/>
          <w:szCs w:val="22"/>
          <w:lang w:val="it-IT" w:eastAsia="en-US"/>
        </w:rPr>
      </w:pPr>
    </w:p>
    <w:p w14:paraId="4D512E7D" w14:textId="357948E7" w:rsidR="00BC2BAE" w:rsidRPr="00777626" w:rsidRDefault="00157588" w:rsidP="00777626">
      <w:pPr>
        <w:pStyle w:val="NormaleWeb"/>
        <w:numPr>
          <w:ilvl w:val="0"/>
          <w:numId w:val="22"/>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L’</w:t>
      </w:r>
      <w:r w:rsidRPr="00777626">
        <w:rPr>
          <w:rFonts w:asciiTheme="minorHAnsi" w:eastAsiaTheme="minorHAnsi" w:hAnsiTheme="minorHAnsi" w:cstheme="minorHAnsi"/>
          <w:b/>
          <w:color w:val="000000"/>
          <w:sz w:val="22"/>
          <w:szCs w:val="22"/>
          <w:lang w:val="it-IT" w:eastAsia="en-US"/>
        </w:rPr>
        <w:t>art. 5 (</w:t>
      </w:r>
      <w:r w:rsidRPr="004A1058">
        <w:rPr>
          <w:rFonts w:asciiTheme="minorHAnsi" w:eastAsiaTheme="minorHAnsi" w:hAnsiTheme="minorHAnsi" w:cstheme="minorHAnsi"/>
          <w:b/>
          <w:i/>
          <w:iCs/>
          <w:color w:val="000000"/>
          <w:sz w:val="22"/>
          <w:szCs w:val="22"/>
          <w:lang w:val="it-IT" w:eastAsia="en-US"/>
        </w:rPr>
        <w:t>Modifiche alle linee di produzioni</w:t>
      </w:r>
      <w:r w:rsidRPr="00777626">
        <w:rPr>
          <w:rFonts w:asciiTheme="minorHAnsi" w:eastAsiaTheme="minorHAnsi" w:hAnsiTheme="minorHAnsi" w:cstheme="minorHAnsi"/>
          <w:b/>
          <w:color w:val="000000"/>
          <w:sz w:val="22"/>
          <w:szCs w:val="22"/>
          <w:lang w:val="it-IT" w:eastAsia="en-US"/>
        </w:rPr>
        <w:t>)</w:t>
      </w:r>
      <w:r w:rsidRPr="004A1058">
        <w:rPr>
          <w:rFonts w:asciiTheme="minorHAnsi" w:eastAsiaTheme="minorHAnsi" w:hAnsiTheme="minorHAnsi" w:cstheme="minorHAnsi"/>
          <w:bCs/>
          <w:color w:val="000000"/>
          <w:sz w:val="22"/>
          <w:szCs w:val="22"/>
          <w:lang w:val="it-IT" w:eastAsia="en-US"/>
        </w:rPr>
        <w:t>,</w:t>
      </w:r>
      <w:r w:rsidRPr="00777626">
        <w:rPr>
          <w:rFonts w:asciiTheme="minorHAnsi" w:eastAsiaTheme="minorHAnsi" w:hAnsiTheme="minorHAnsi" w:cstheme="minorHAnsi"/>
          <w:b/>
          <w:color w:val="000000"/>
          <w:sz w:val="22"/>
          <w:szCs w:val="22"/>
          <w:lang w:val="it-IT" w:eastAsia="en-US"/>
        </w:rPr>
        <w:t xml:space="preserve"> </w:t>
      </w:r>
      <w:r w:rsidRPr="00777626">
        <w:rPr>
          <w:rFonts w:asciiTheme="minorHAnsi" w:eastAsiaTheme="minorHAnsi" w:hAnsiTheme="minorHAnsi" w:cstheme="minorHAnsi"/>
          <w:bCs/>
          <w:color w:val="000000"/>
          <w:sz w:val="22"/>
          <w:szCs w:val="22"/>
          <w:lang w:val="it-IT" w:eastAsia="en-US"/>
        </w:rPr>
        <w:t>che prevede l’obbligo per i fabbricanti, per gli aggiornamenti alle produzioni di medicinali, ove necessari per adempiere alle previsioni dello Schema di Decreto legislativo e del Regolamento, di conformarsi alle disposizioni</w:t>
      </w:r>
      <w:r w:rsidR="00E70BE3">
        <w:rPr>
          <w:rFonts w:asciiTheme="minorHAnsi" w:eastAsiaTheme="minorHAnsi" w:hAnsiTheme="minorHAnsi" w:cstheme="minorHAnsi"/>
          <w:bCs/>
          <w:color w:val="000000"/>
          <w:sz w:val="22"/>
          <w:szCs w:val="22"/>
          <w:lang w:val="it-IT" w:eastAsia="en-US"/>
        </w:rPr>
        <w:t xml:space="preserve"> regolamentari</w:t>
      </w:r>
      <w:r w:rsidRPr="00777626">
        <w:rPr>
          <w:rFonts w:asciiTheme="minorHAnsi" w:eastAsiaTheme="minorHAnsi" w:hAnsiTheme="minorHAnsi" w:cstheme="minorHAnsi"/>
          <w:bCs/>
          <w:color w:val="000000"/>
          <w:sz w:val="22"/>
          <w:szCs w:val="22"/>
          <w:lang w:val="it-IT" w:eastAsia="en-US"/>
        </w:rPr>
        <w:t xml:space="preserve"> di cui all’articolo 50, commi 5 e 5-bis, del decreto legislativo 24 aprile 2006, n. 219</w:t>
      </w:r>
      <w:r w:rsidR="00E70BE3">
        <w:rPr>
          <w:rStyle w:val="Rimandonotaapidipagina"/>
          <w:rFonts w:asciiTheme="minorHAnsi" w:eastAsiaTheme="minorHAnsi" w:hAnsiTheme="minorHAnsi" w:cstheme="minorHAnsi"/>
          <w:bCs/>
          <w:color w:val="000000"/>
          <w:sz w:val="22"/>
          <w:szCs w:val="22"/>
          <w:lang w:val="it-IT" w:eastAsia="en-US"/>
        </w:rPr>
        <w:footnoteReference w:id="8"/>
      </w:r>
      <w:r w:rsidRPr="00777626">
        <w:rPr>
          <w:rFonts w:asciiTheme="minorHAnsi" w:eastAsiaTheme="minorHAnsi" w:hAnsiTheme="minorHAnsi" w:cstheme="minorHAnsi"/>
          <w:bCs/>
          <w:color w:val="000000"/>
          <w:sz w:val="22"/>
          <w:szCs w:val="22"/>
          <w:lang w:val="it-IT" w:eastAsia="en-US"/>
        </w:rPr>
        <w:t>.</w:t>
      </w:r>
    </w:p>
    <w:p w14:paraId="169F63A7" w14:textId="77777777" w:rsidR="001B4D17" w:rsidRPr="00777626" w:rsidRDefault="001B4D17" w:rsidP="00777626">
      <w:pPr>
        <w:pStyle w:val="NormaleWeb"/>
        <w:spacing w:before="0" w:beforeAutospacing="0" w:after="0" w:afterAutospacing="0"/>
        <w:ind w:left="720" w:right="-1"/>
        <w:jc w:val="both"/>
        <w:rPr>
          <w:rFonts w:asciiTheme="minorHAnsi" w:eastAsiaTheme="minorHAnsi" w:hAnsiTheme="minorHAnsi" w:cstheme="minorHAnsi"/>
          <w:bCs/>
          <w:color w:val="000000"/>
          <w:sz w:val="22"/>
          <w:szCs w:val="22"/>
          <w:lang w:val="it-IT" w:eastAsia="en-US"/>
        </w:rPr>
      </w:pPr>
    </w:p>
    <w:p w14:paraId="3280F625" w14:textId="77777777" w:rsidR="00157588" w:rsidRPr="00777626" w:rsidRDefault="00157588" w:rsidP="00777626">
      <w:pPr>
        <w:pStyle w:val="NormaleWeb"/>
        <w:numPr>
          <w:ilvl w:val="0"/>
          <w:numId w:val="22"/>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L’</w:t>
      </w:r>
      <w:r w:rsidRPr="00777626">
        <w:rPr>
          <w:rFonts w:asciiTheme="minorHAnsi" w:eastAsiaTheme="minorHAnsi" w:hAnsiTheme="minorHAnsi" w:cstheme="minorHAnsi"/>
          <w:b/>
          <w:color w:val="000000"/>
          <w:sz w:val="22"/>
          <w:szCs w:val="22"/>
          <w:lang w:val="it-IT" w:eastAsia="en-US"/>
        </w:rPr>
        <w:t>art. 10 (</w:t>
      </w:r>
      <w:r w:rsidRPr="004A1058">
        <w:rPr>
          <w:rFonts w:asciiTheme="minorHAnsi" w:eastAsiaTheme="minorHAnsi" w:hAnsiTheme="minorHAnsi" w:cstheme="minorHAnsi"/>
          <w:b/>
          <w:i/>
          <w:iCs/>
          <w:color w:val="000000"/>
          <w:sz w:val="22"/>
          <w:szCs w:val="22"/>
          <w:lang w:val="it-IT" w:eastAsia="en-US"/>
        </w:rPr>
        <w:t>Sanzioni amministrative</w:t>
      </w:r>
      <w:r w:rsidRPr="00777626">
        <w:rPr>
          <w:rFonts w:asciiTheme="minorHAnsi" w:eastAsiaTheme="minorHAnsi" w:hAnsiTheme="minorHAnsi" w:cstheme="minorHAnsi"/>
          <w:b/>
          <w:color w:val="000000"/>
          <w:sz w:val="22"/>
          <w:szCs w:val="22"/>
          <w:lang w:val="it-IT" w:eastAsia="en-US"/>
        </w:rPr>
        <w:t>)</w:t>
      </w:r>
      <w:r w:rsidRPr="00777626">
        <w:rPr>
          <w:rFonts w:asciiTheme="minorHAnsi" w:eastAsiaTheme="minorHAnsi" w:hAnsiTheme="minorHAnsi" w:cstheme="minorHAnsi"/>
          <w:bCs/>
          <w:color w:val="000000"/>
          <w:sz w:val="22"/>
          <w:szCs w:val="22"/>
          <w:lang w:val="it-IT" w:eastAsia="en-US"/>
        </w:rPr>
        <w:t xml:space="preserve">, che dispone che i proventi derivanti dall'applicazione delle sanzioni amministrative pecuniarie accertate dagli organi dello Stato nelle materie di competenza statale, irrogate per le violazioni dello Schema di Decreto Legislativo, </w:t>
      </w:r>
      <w:r w:rsidRPr="00777626">
        <w:rPr>
          <w:rFonts w:asciiTheme="minorHAnsi" w:eastAsiaTheme="minorHAnsi" w:hAnsiTheme="minorHAnsi" w:cstheme="minorHAnsi"/>
          <w:bCs/>
          <w:color w:val="000000"/>
          <w:sz w:val="22"/>
          <w:szCs w:val="22"/>
          <w:u w:val="single"/>
          <w:lang w:val="it-IT" w:eastAsia="en-US"/>
        </w:rPr>
        <w:t>affluiscono all'entrata del bilancio dello Stato per essere riassegnati al Ministero della salute per il miglioramento e l’efficienza delle attività di controllo e di vigilanza del Ministero della salute e dell’AIFA</w:t>
      </w:r>
      <w:r w:rsidRPr="00777626">
        <w:rPr>
          <w:rFonts w:asciiTheme="minorHAnsi" w:eastAsiaTheme="minorHAnsi" w:hAnsiTheme="minorHAnsi" w:cstheme="minorHAnsi"/>
          <w:bCs/>
          <w:color w:val="000000"/>
          <w:sz w:val="22"/>
          <w:szCs w:val="22"/>
          <w:lang w:val="it-IT" w:eastAsia="en-US"/>
        </w:rPr>
        <w:t xml:space="preserve">. La ripartizione dei proventi derivanti dall'applicazione delle sanzioni amministrative pecuniarie di cui al primo periodo è definita con decreto del Ministro della salute da adottare entro centottanta giorni dalla data di entrata in vigore del presente decreto. </w:t>
      </w:r>
    </w:p>
    <w:p w14:paraId="5B37E7CC" w14:textId="77777777" w:rsidR="001B4D17" w:rsidRPr="00777626" w:rsidRDefault="001B4D17" w:rsidP="00777626">
      <w:pPr>
        <w:pStyle w:val="Paragrafoelenco"/>
        <w:spacing w:line="240" w:lineRule="auto"/>
        <w:rPr>
          <w:rFonts w:cstheme="minorHAnsi"/>
          <w:bCs/>
          <w:color w:val="000000"/>
        </w:rPr>
      </w:pPr>
    </w:p>
    <w:p w14:paraId="044C426C" w14:textId="5B9EED21" w:rsidR="00157588" w:rsidRDefault="00157588" w:rsidP="00777626">
      <w:pPr>
        <w:pStyle w:val="NormaleWeb"/>
        <w:numPr>
          <w:ilvl w:val="0"/>
          <w:numId w:val="22"/>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 xml:space="preserve">L’art. </w:t>
      </w:r>
      <w:r w:rsidRPr="00777626">
        <w:rPr>
          <w:rFonts w:asciiTheme="minorHAnsi" w:eastAsiaTheme="minorHAnsi" w:hAnsiTheme="minorHAnsi" w:cstheme="minorHAnsi"/>
          <w:b/>
          <w:color w:val="000000"/>
          <w:sz w:val="22"/>
          <w:szCs w:val="22"/>
          <w:lang w:val="it-IT" w:eastAsia="en-US"/>
        </w:rPr>
        <w:t>11 (</w:t>
      </w:r>
      <w:r w:rsidRPr="004A1058">
        <w:rPr>
          <w:rFonts w:asciiTheme="minorHAnsi" w:eastAsiaTheme="minorHAnsi" w:hAnsiTheme="minorHAnsi" w:cstheme="minorHAnsi"/>
          <w:b/>
          <w:i/>
          <w:iCs/>
          <w:color w:val="000000"/>
          <w:sz w:val="22"/>
          <w:szCs w:val="22"/>
          <w:lang w:val="it-IT" w:eastAsia="en-US"/>
        </w:rPr>
        <w:t>Modifiche al decreto legislativo 24 aprile 2006, n. 219</w:t>
      </w:r>
      <w:r w:rsidRPr="00777626">
        <w:rPr>
          <w:rFonts w:asciiTheme="minorHAnsi" w:eastAsiaTheme="minorHAnsi" w:hAnsiTheme="minorHAnsi" w:cstheme="minorHAnsi"/>
          <w:b/>
          <w:color w:val="000000"/>
          <w:sz w:val="22"/>
          <w:szCs w:val="22"/>
          <w:lang w:val="it-IT" w:eastAsia="en-US"/>
        </w:rPr>
        <w:t xml:space="preserve">) </w:t>
      </w:r>
      <w:r w:rsidRPr="00777626">
        <w:rPr>
          <w:rFonts w:asciiTheme="minorHAnsi" w:eastAsiaTheme="minorHAnsi" w:hAnsiTheme="minorHAnsi" w:cstheme="minorHAnsi"/>
          <w:bCs/>
          <w:color w:val="000000"/>
          <w:sz w:val="22"/>
          <w:szCs w:val="22"/>
          <w:lang w:val="it-IT" w:eastAsia="en-US"/>
        </w:rPr>
        <w:t xml:space="preserve">contenente alcune modifiche al decreto legislativo 24 aprile 2006, n. 219, ed in particolare ai seguenti articoli: 51-ter; 52; 73; 73-bis; 96; 104; 105; 125 e 148. </w:t>
      </w:r>
    </w:p>
    <w:p w14:paraId="2B2CAC4A" w14:textId="77777777" w:rsidR="004A1058" w:rsidRDefault="004A1058" w:rsidP="004A1058">
      <w:pPr>
        <w:pStyle w:val="Paragrafoelenco"/>
        <w:rPr>
          <w:rFonts w:cstheme="minorHAnsi"/>
          <w:bCs/>
          <w:color w:val="000000"/>
        </w:rPr>
      </w:pPr>
    </w:p>
    <w:p w14:paraId="50D94CAF" w14:textId="77777777" w:rsidR="00157588" w:rsidRPr="00777626" w:rsidRDefault="00157588" w:rsidP="00777626">
      <w:pPr>
        <w:pStyle w:val="NormaleWeb"/>
        <w:numPr>
          <w:ilvl w:val="0"/>
          <w:numId w:val="22"/>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 xml:space="preserve">L’art. </w:t>
      </w:r>
      <w:r w:rsidRPr="00777626">
        <w:rPr>
          <w:rFonts w:asciiTheme="minorHAnsi" w:eastAsiaTheme="minorHAnsi" w:hAnsiTheme="minorHAnsi" w:cstheme="minorHAnsi"/>
          <w:b/>
          <w:color w:val="000000"/>
          <w:sz w:val="22"/>
          <w:szCs w:val="22"/>
          <w:lang w:val="it-IT" w:eastAsia="en-US"/>
        </w:rPr>
        <w:t>13 (</w:t>
      </w:r>
      <w:r w:rsidRPr="004A1058">
        <w:rPr>
          <w:rFonts w:asciiTheme="minorHAnsi" w:eastAsiaTheme="minorHAnsi" w:hAnsiTheme="minorHAnsi" w:cstheme="minorHAnsi"/>
          <w:b/>
          <w:i/>
          <w:iCs/>
          <w:color w:val="000000"/>
          <w:sz w:val="22"/>
          <w:szCs w:val="22"/>
          <w:lang w:val="it-IT" w:eastAsia="en-US"/>
        </w:rPr>
        <w:t>Disposizioni transitorie e finali</w:t>
      </w:r>
      <w:r w:rsidRPr="00777626">
        <w:rPr>
          <w:rFonts w:asciiTheme="minorHAnsi" w:eastAsiaTheme="minorHAnsi" w:hAnsiTheme="minorHAnsi" w:cstheme="minorHAnsi"/>
          <w:b/>
          <w:color w:val="000000"/>
          <w:sz w:val="22"/>
          <w:szCs w:val="22"/>
          <w:lang w:val="it-IT" w:eastAsia="en-US"/>
        </w:rPr>
        <w:t>)</w:t>
      </w:r>
      <w:r w:rsidRPr="00777626">
        <w:rPr>
          <w:rFonts w:asciiTheme="minorHAnsi" w:eastAsiaTheme="minorHAnsi" w:hAnsiTheme="minorHAnsi" w:cstheme="minorHAnsi"/>
          <w:bCs/>
          <w:color w:val="000000"/>
          <w:sz w:val="22"/>
          <w:szCs w:val="22"/>
          <w:lang w:val="it-IT" w:eastAsia="en-US"/>
        </w:rPr>
        <w:t xml:space="preserve">, che prevede che: </w:t>
      </w:r>
    </w:p>
    <w:p w14:paraId="6214821C" w14:textId="3516CC0E" w:rsidR="00157588" w:rsidRPr="00777626" w:rsidRDefault="00157588" w:rsidP="00777626">
      <w:pPr>
        <w:pStyle w:val="NormaleWeb"/>
        <w:numPr>
          <w:ilvl w:val="1"/>
          <w:numId w:val="20"/>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lastRenderedPageBreak/>
        <w:t xml:space="preserve">I medicinali per uso umano destinati alla vendita in Italia, </w:t>
      </w:r>
      <w:r w:rsidRPr="00777626">
        <w:rPr>
          <w:rFonts w:asciiTheme="minorHAnsi" w:eastAsiaTheme="minorHAnsi" w:hAnsiTheme="minorHAnsi" w:cstheme="minorHAnsi"/>
          <w:bCs/>
          <w:color w:val="000000"/>
          <w:sz w:val="22"/>
          <w:szCs w:val="22"/>
          <w:u w:val="single"/>
          <w:lang w:val="it-IT" w:eastAsia="en-US"/>
        </w:rPr>
        <w:t>il cui lotto è stato rilasciato entro la data del 9 febbraio 2025</w:t>
      </w:r>
      <w:r w:rsidRPr="00777626">
        <w:rPr>
          <w:rFonts w:asciiTheme="minorHAnsi" w:eastAsiaTheme="minorHAnsi" w:hAnsiTheme="minorHAnsi" w:cstheme="minorHAnsi"/>
          <w:bCs/>
          <w:color w:val="000000"/>
          <w:sz w:val="22"/>
          <w:szCs w:val="22"/>
          <w:lang w:val="it-IT" w:eastAsia="en-US"/>
        </w:rPr>
        <w:t>, su cui è stato apposto il bollino farmaceutico sul confezionamento esterno secondo le disposizioni di cui al decreto legislativo 24 aprile 2006, n. 219, possono essere immessi sul mercato, distribuiti e forniti al pubblico in Italia fino alla data di scadenza, senza essere successivamente riconfezionati o rietichettati</w:t>
      </w:r>
      <w:r w:rsidR="004A1058">
        <w:rPr>
          <w:rFonts w:asciiTheme="minorHAnsi" w:eastAsiaTheme="minorHAnsi" w:hAnsiTheme="minorHAnsi" w:cstheme="minorHAnsi"/>
          <w:bCs/>
          <w:color w:val="000000"/>
          <w:sz w:val="22"/>
          <w:szCs w:val="22"/>
          <w:lang w:val="it-IT" w:eastAsia="en-US"/>
        </w:rPr>
        <w:t>.</w:t>
      </w:r>
    </w:p>
    <w:p w14:paraId="1AAE30E1" w14:textId="3CC4D2B8" w:rsidR="00157588" w:rsidRPr="00777626" w:rsidRDefault="00157588" w:rsidP="00777626">
      <w:pPr>
        <w:pStyle w:val="NormaleWeb"/>
        <w:numPr>
          <w:ilvl w:val="1"/>
          <w:numId w:val="20"/>
        </w:numPr>
        <w:spacing w:before="0" w:beforeAutospacing="0" w:after="0" w:afterAutospacing="0"/>
        <w:ind w:right="-1"/>
        <w:jc w:val="both"/>
        <w:rPr>
          <w:rFonts w:asciiTheme="minorHAnsi" w:eastAsiaTheme="minorHAnsi" w:hAnsiTheme="minorHAnsi" w:cstheme="minorHAnsi"/>
          <w:bCs/>
          <w:color w:val="000000"/>
          <w:sz w:val="22"/>
          <w:szCs w:val="22"/>
          <w:lang w:val="it-IT" w:eastAsia="en-US"/>
        </w:rPr>
      </w:pPr>
      <w:r w:rsidRPr="00777626">
        <w:rPr>
          <w:rFonts w:asciiTheme="minorHAnsi" w:eastAsiaTheme="minorHAnsi" w:hAnsiTheme="minorHAnsi" w:cstheme="minorHAnsi"/>
          <w:bCs/>
          <w:color w:val="000000"/>
          <w:sz w:val="22"/>
          <w:szCs w:val="22"/>
          <w:lang w:val="it-IT" w:eastAsia="en-US"/>
        </w:rPr>
        <w:t>Le sanzioni si applicano a decorrere dalla data del 9 febbraio 2025.</w:t>
      </w:r>
    </w:p>
    <w:p w14:paraId="1F3EE17F" w14:textId="77777777" w:rsidR="001B4D17" w:rsidRPr="00777626" w:rsidRDefault="001B4D17" w:rsidP="00777626">
      <w:pPr>
        <w:pStyle w:val="NormaleWeb"/>
        <w:spacing w:before="0" w:beforeAutospacing="0" w:after="0" w:afterAutospacing="0"/>
        <w:ind w:left="1440" w:right="-1"/>
        <w:jc w:val="both"/>
        <w:rPr>
          <w:rFonts w:asciiTheme="minorHAnsi" w:eastAsiaTheme="minorHAnsi" w:hAnsiTheme="minorHAnsi" w:cstheme="minorHAnsi"/>
          <w:bCs/>
          <w:color w:val="000000"/>
          <w:sz w:val="22"/>
          <w:szCs w:val="22"/>
          <w:lang w:val="it-IT" w:eastAsia="en-US"/>
        </w:rPr>
      </w:pPr>
    </w:p>
    <w:p w14:paraId="53E5355F" w14:textId="6A136DE2" w:rsidR="004E4BC7" w:rsidRPr="00610F19" w:rsidRDefault="001A5773" w:rsidP="00FE64E5">
      <w:pPr>
        <w:pStyle w:val="NormaleWeb"/>
        <w:spacing w:before="0" w:beforeAutospacing="0" w:after="0" w:afterAutospacing="0"/>
        <w:ind w:left="720" w:right="-1"/>
        <w:jc w:val="both"/>
        <w:rPr>
          <w:rFonts w:asciiTheme="minorHAnsi" w:eastAsiaTheme="minorHAnsi" w:hAnsiTheme="minorHAnsi" w:cstheme="minorHAnsi"/>
          <w:bCs/>
          <w:color w:val="000000"/>
          <w:sz w:val="22"/>
          <w:szCs w:val="22"/>
          <w:lang w:val="it-IT" w:eastAsia="en-US"/>
        </w:rPr>
      </w:pPr>
      <w:r w:rsidRPr="00610F19">
        <w:rPr>
          <w:rFonts w:asciiTheme="minorHAnsi" w:eastAsiaTheme="minorHAnsi" w:hAnsiTheme="minorHAnsi" w:cstheme="minorHAnsi"/>
          <w:bCs/>
          <w:color w:val="000000"/>
          <w:sz w:val="22"/>
          <w:szCs w:val="22"/>
          <w:lang w:val="it-IT" w:eastAsia="en-US"/>
        </w:rPr>
        <w:t xml:space="preserve"> </w:t>
      </w:r>
    </w:p>
    <w:sectPr w:rsidR="004E4BC7" w:rsidRPr="00610F19" w:rsidSect="000B1431">
      <w:headerReference w:type="default" r:id="rId9"/>
      <w:footerReference w:type="default" r:id="rId10"/>
      <w:pgSz w:w="11906" w:h="16838"/>
      <w:pgMar w:top="1134" w:right="1134" w:bottom="1134" w:left="1134"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021D7" w14:textId="77777777" w:rsidR="00390D38" w:rsidRDefault="00390D38" w:rsidP="00593C2F">
      <w:pPr>
        <w:spacing w:after="0" w:line="240" w:lineRule="auto"/>
      </w:pPr>
      <w:r>
        <w:separator/>
      </w:r>
    </w:p>
  </w:endnote>
  <w:endnote w:type="continuationSeparator" w:id="0">
    <w:p w14:paraId="454B2544" w14:textId="77777777" w:rsidR="00390D38" w:rsidRDefault="00390D38" w:rsidP="0059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079713"/>
      <w:docPartObj>
        <w:docPartGallery w:val="Page Numbers (Bottom of Page)"/>
        <w:docPartUnique/>
      </w:docPartObj>
    </w:sdtPr>
    <w:sdtEndPr/>
    <w:sdtContent>
      <w:p w14:paraId="25FFE70D" w14:textId="242A8FA7" w:rsidR="001B4D17" w:rsidRDefault="001B4D17">
        <w:pPr>
          <w:pStyle w:val="Pidipagina"/>
          <w:jc w:val="center"/>
        </w:pPr>
        <w:r>
          <w:fldChar w:fldCharType="begin"/>
        </w:r>
        <w:r>
          <w:instrText>PAGE   \* MERGEFORMAT</w:instrText>
        </w:r>
        <w:r>
          <w:fldChar w:fldCharType="separate"/>
        </w:r>
        <w:r>
          <w:t>2</w:t>
        </w:r>
        <w:r>
          <w:fldChar w:fldCharType="end"/>
        </w:r>
      </w:p>
    </w:sdtContent>
  </w:sdt>
  <w:p w14:paraId="3C50C1F0" w14:textId="77777777" w:rsidR="00A262AB" w:rsidRDefault="00A262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99D00" w14:textId="77777777" w:rsidR="00390D38" w:rsidRDefault="00390D38" w:rsidP="00593C2F">
      <w:pPr>
        <w:spacing w:after="0" w:line="240" w:lineRule="auto"/>
      </w:pPr>
      <w:r>
        <w:separator/>
      </w:r>
    </w:p>
  </w:footnote>
  <w:footnote w:type="continuationSeparator" w:id="0">
    <w:p w14:paraId="20994F59" w14:textId="77777777" w:rsidR="00390D38" w:rsidRDefault="00390D38" w:rsidP="00593C2F">
      <w:pPr>
        <w:spacing w:after="0" w:line="240" w:lineRule="auto"/>
      </w:pPr>
      <w:r>
        <w:continuationSeparator/>
      </w:r>
    </w:p>
  </w:footnote>
  <w:footnote w:id="1">
    <w:p w14:paraId="556A4A34" w14:textId="40EACE16" w:rsidR="005D25F1" w:rsidRPr="00777626" w:rsidRDefault="005D25F1" w:rsidP="00777626">
      <w:pPr>
        <w:pStyle w:val="Testonotaapidipagina"/>
        <w:jc w:val="both"/>
        <w:rPr>
          <w:sz w:val="16"/>
          <w:szCs w:val="16"/>
        </w:rPr>
      </w:pPr>
      <w:r w:rsidRPr="00777626">
        <w:rPr>
          <w:rStyle w:val="Rimandonotaapidipagina"/>
          <w:sz w:val="16"/>
          <w:szCs w:val="16"/>
        </w:rPr>
        <w:footnoteRef/>
      </w:r>
      <w:r w:rsidRPr="00777626">
        <w:rPr>
          <w:sz w:val="16"/>
          <w:szCs w:val="16"/>
        </w:rPr>
        <w:t xml:space="preserve"> Che ha apportato alcune modifiche alla </w:t>
      </w:r>
      <w:r w:rsidRPr="00777626">
        <w:rPr>
          <w:rFonts w:cstheme="minorHAnsi"/>
          <w:bCs/>
          <w:color w:val="000000"/>
          <w:sz w:val="16"/>
          <w:szCs w:val="16"/>
        </w:rPr>
        <w:t>direttiva 2001/83/CE, recante il codice comunitario concernente i medicinali per uso umano.</w:t>
      </w:r>
    </w:p>
  </w:footnote>
  <w:footnote w:id="2">
    <w:p w14:paraId="6A6A0AEC" w14:textId="6A1CF4BB" w:rsidR="00C77328" w:rsidRPr="00777626" w:rsidRDefault="00C77328" w:rsidP="00777626">
      <w:pPr>
        <w:pStyle w:val="Testonotaapidipagina"/>
        <w:jc w:val="both"/>
        <w:rPr>
          <w:sz w:val="16"/>
          <w:szCs w:val="16"/>
        </w:rPr>
      </w:pPr>
      <w:r w:rsidRPr="00777626">
        <w:rPr>
          <w:rStyle w:val="Rimandonotaapidipagina"/>
          <w:sz w:val="16"/>
          <w:szCs w:val="16"/>
        </w:rPr>
        <w:footnoteRef/>
      </w:r>
      <w:r w:rsidRPr="00777626">
        <w:rPr>
          <w:sz w:val="16"/>
          <w:szCs w:val="16"/>
        </w:rPr>
        <w:t xml:space="preserve"> </w:t>
      </w:r>
      <w:r w:rsidR="00120F11" w:rsidRPr="00120F11">
        <w:rPr>
          <w:sz w:val="16"/>
          <w:szCs w:val="16"/>
        </w:rPr>
        <w:t>C</w:t>
      </w:r>
      <w:r w:rsidRPr="00777626">
        <w:rPr>
          <w:sz w:val="16"/>
          <w:szCs w:val="16"/>
        </w:rPr>
        <w:t xml:space="preserve">odice univoco </w:t>
      </w:r>
      <w:r w:rsidR="00120F11" w:rsidRPr="00120F11">
        <w:rPr>
          <w:sz w:val="16"/>
          <w:szCs w:val="16"/>
        </w:rPr>
        <w:t xml:space="preserve">formato da sequenza di caratteri numerici o alfanumerici unica per ciascuna confezione di medicinale e </w:t>
      </w:r>
      <w:r w:rsidRPr="00777626">
        <w:rPr>
          <w:sz w:val="16"/>
          <w:szCs w:val="16"/>
        </w:rPr>
        <w:t xml:space="preserve">stampato direttamente sulla confezione, </w:t>
      </w:r>
      <w:r w:rsidR="00120F11" w:rsidRPr="00120F11">
        <w:rPr>
          <w:sz w:val="16"/>
          <w:szCs w:val="16"/>
        </w:rPr>
        <w:t xml:space="preserve">che contiene specifiche informazioni e dati ai sensi del Regolamento. </w:t>
      </w:r>
    </w:p>
  </w:footnote>
  <w:footnote w:id="3">
    <w:p w14:paraId="6DBDB52D" w14:textId="6FFF5DDF" w:rsidR="00120F11" w:rsidRDefault="00120F11" w:rsidP="00777626">
      <w:pPr>
        <w:pStyle w:val="Testonotaapidipagina"/>
        <w:jc w:val="both"/>
      </w:pPr>
      <w:r w:rsidRPr="00777626">
        <w:rPr>
          <w:rStyle w:val="Rimandonotaapidipagina"/>
          <w:sz w:val="16"/>
          <w:szCs w:val="16"/>
        </w:rPr>
        <w:footnoteRef/>
      </w:r>
      <w:r w:rsidRPr="00777626">
        <w:rPr>
          <w:sz w:val="16"/>
          <w:szCs w:val="16"/>
        </w:rPr>
        <w:t xml:space="preserve"> Medicinali omeopatici, Generatori di radionuclidi, Kit, Precursori di radionuclidi, Medicinali per terapia avanzata contenenti o costituiti da tessuti o cellule, Gas medicinali, Soluzioni per nutrizione parenterale il cui codice ATC (anatomico, terapeutico, chimico) inizia con B05BA, Soluzioni che influenzano l'equilibrio elettrolitico il cui codice ATC inizia con B05BB, Soluzioni che favoriscono la diuresi osmotica il cui codice ATC inizia con B05BC, Additivi per soluzioni endovena il cui codice ATC inizia con B05X, Solventi e diluenti, comprese le soluzioni detergenti, il cui codice ATC inizia con V07AB, Mezzi di contrasto il cui codice ATC inizia con V08, Test allergologici il cui codice ATC inizia con V04CL e Estratti allergenici il cui codice ATC inizia con V01AA.</w:t>
      </w:r>
    </w:p>
  </w:footnote>
  <w:footnote w:id="4">
    <w:p w14:paraId="2B1C57AF" w14:textId="2057D7E2" w:rsidR="004D7C91" w:rsidRPr="00777626" w:rsidRDefault="004D7C91" w:rsidP="00777626">
      <w:pPr>
        <w:pStyle w:val="Testonotaapidipagina"/>
        <w:jc w:val="both"/>
        <w:rPr>
          <w:sz w:val="16"/>
          <w:szCs w:val="16"/>
        </w:rPr>
      </w:pPr>
      <w:r w:rsidRPr="00777626">
        <w:rPr>
          <w:rStyle w:val="Rimandonotaapidipagina"/>
          <w:sz w:val="16"/>
          <w:szCs w:val="16"/>
        </w:rPr>
        <w:footnoteRef/>
      </w:r>
      <w:r w:rsidRPr="00B74134">
        <w:rPr>
          <w:sz w:val="16"/>
          <w:szCs w:val="16"/>
        </w:rPr>
        <w:t xml:space="preserve"> Si riporta per completezza il testo integrale di legge </w:t>
      </w:r>
      <w:r w:rsidRPr="00B74134">
        <w:rPr>
          <w:rFonts w:cstheme="minorHAnsi"/>
          <w:bCs/>
          <w:color w:val="000000"/>
          <w:sz w:val="16"/>
          <w:szCs w:val="16"/>
        </w:rPr>
        <w:t>“</w:t>
      </w:r>
      <w:r w:rsidR="00B74134" w:rsidRPr="00B74134">
        <w:rPr>
          <w:rFonts w:cstheme="minorHAnsi"/>
          <w:bCs/>
          <w:i/>
          <w:iCs/>
          <w:color w:val="000000"/>
          <w:sz w:val="16"/>
          <w:szCs w:val="16"/>
        </w:rPr>
        <w:t>a) prevedere specifiche e progressive misure finalizzate ad introdurre, entro il 9 febbraio 2025, l'apposizione dell'identificativo univoco e dell'elemento di sicurezza antimanomissione sulle confezioni dei medicinali; b) garantire alle aziende di produzione, nel rispetto del termine di decorrenza di cui alla lettera a), congrui tempi di adeguamento alla normativa per l'aggiornamento dello stato tecnologico delle medesime imprese; c) adeguare e raccordare alle disposizioni del regolamento delegato (UE) 2016/161 le disposizioni nazionali vigenti e, in particolare, le modalità e le procedure di vigilanza, sorveglianza del mercato e controllo della sicurezza dei farmaci, con abrogazione espressa delle norme nazionali incompatibili; d) prevedere che, su autorizzazione dell'Agenzia italiana del farmaco (AIFA), i fabbricanti possano includere informazioni diverse dall'identificativo univoco nel codice a barre bidimensionale che lo contiene, in conformità alle disposizioni del titolo V della </w:t>
      </w:r>
      <w:hyperlink r:id="rId1" w:tgtFrame="_blank" w:history="1">
        <w:r w:rsidR="00B74134" w:rsidRPr="00B74134">
          <w:rPr>
            <w:color w:val="000000"/>
            <w:sz w:val="16"/>
            <w:szCs w:val="16"/>
          </w:rPr>
          <w:t>direttiva 2001/83/CE del Parlamento europeo e del Consiglio, del 6 novembre 2001</w:t>
        </w:r>
      </w:hyperlink>
      <w:r w:rsidR="00B74134" w:rsidRPr="00B74134">
        <w:rPr>
          <w:rFonts w:cstheme="minorHAnsi"/>
          <w:bCs/>
          <w:i/>
          <w:iCs/>
          <w:color w:val="000000"/>
          <w:sz w:val="16"/>
          <w:szCs w:val="16"/>
        </w:rPr>
        <w:t>; e) prevedere che il soggetto giuridico responsabile della costituzione e della gestione dell'archivio nazionale contenente le informazioni sulle caratteristiche di sicurezza dei medicinali per uso umano, con apposita convenzione, si avvalga della società di cui all'</w:t>
      </w:r>
      <w:hyperlink r:id="rId2" w:tgtFrame="_blank" w:history="1">
        <w:r w:rsidR="00B74134" w:rsidRPr="00B74134">
          <w:rPr>
            <w:color w:val="000000"/>
            <w:sz w:val="16"/>
            <w:szCs w:val="16"/>
          </w:rPr>
          <w:t>articolo 1 della legge 13 luglio 1966, n. 559</w:t>
        </w:r>
      </w:hyperlink>
      <w:r w:rsidR="00B74134" w:rsidRPr="00B74134">
        <w:rPr>
          <w:rFonts w:cstheme="minorHAnsi"/>
          <w:bCs/>
          <w:i/>
          <w:iCs/>
          <w:color w:val="000000"/>
          <w:sz w:val="16"/>
          <w:szCs w:val="16"/>
        </w:rPr>
        <w:t>, per la realizzazione e la gestione dello stesso e verifichi la conformità delle medesime informazioni alle prescrizioni del regolamento delegato (UE) 2016/161, nonché prevedere le modalità di controllo da parte del Ministero della salute e dell'AIFA sul funzionamento dell'archivio al fine delle indagini sui potenziali casi di falsificazione, sul rimborso dei medicinali nonché sulla farmacovigilanza e sulla farmacoepidemiologia. Con la convenzione sono definite le modalità di realizzazione e di gestione del sistema di archivi nonché i relativi costi a carico dei fabbricanti dei medicinali che presentano le caratteristiche di sicurezza a norma dell'articolo 54-bis, paragrafo 2, secondo comma, lettera e), della citata </w:t>
      </w:r>
      <w:hyperlink r:id="rId3" w:tgtFrame="_blank" w:history="1">
        <w:r w:rsidR="00B74134" w:rsidRPr="00B74134">
          <w:rPr>
            <w:color w:val="000000"/>
            <w:sz w:val="16"/>
            <w:szCs w:val="16"/>
          </w:rPr>
          <w:t>direttiva 2001/83/CE</w:t>
        </w:r>
      </w:hyperlink>
      <w:r w:rsidR="00B74134" w:rsidRPr="00B74134">
        <w:rPr>
          <w:rFonts w:cstheme="minorHAnsi"/>
          <w:bCs/>
          <w:i/>
          <w:iCs/>
          <w:color w:val="000000"/>
          <w:sz w:val="16"/>
          <w:szCs w:val="16"/>
        </w:rPr>
        <w:t>. Dall'attuazione della presente disposizione non devono derivare nuovi o maggiori oneri a carico della finanza pubblica; f) definire il sistema sanzionatorio, attraverso la previsione di sanzioni amministrative efficaci, dissuasive e proporzionate alla gravità delle violazioni delle disposizioni del regolamento delegato (UE) 2016/161 e il riordino del sistema vigente; g) prevedere che gli oneri per la realizzazione e la gestione dell'archivio siano interamente a carico del soggetto giuridico costituito ai sensi dell'articolo 31 del regolamento delegato (UE) 2016/161.</w:t>
      </w:r>
      <w:r w:rsidRPr="00B74134">
        <w:rPr>
          <w:rFonts w:cstheme="minorHAnsi"/>
          <w:bCs/>
          <w:color w:val="000000"/>
          <w:sz w:val="16"/>
          <w:szCs w:val="16"/>
        </w:rPr>
        <w:t>”.</w:t>
      </w:r>
    </w:p>
  </w:footnote>
  <w:footnote w:id="5">
    <w:p w14:paraId="49EB8578" w14:textId="780A82E5" w:rsidR="00F14AD2" w:rsidRPr="00777626" w:rsidRDefault="00F14AD2" w:rsidP="00777626">
      <w:pPr>
        <w:pStyle w:val="Testonotaapidipagina"/>
        <w:jc w:val="both"/>
        <w:rPr>
          <w:sz w:val="16"/>
          <w:szCs w:val="16"/>
        </w:rPr>
      </w:pPr>
      <w:r w:rsidRPr="00777626">
        <w:rPr>
          <w:rStyle w:val="Rimandonotaapidipagina"/>
          <w:sz w:val="16"/>
          <w:szCs w:val="16"/>
        </w:rPr>
        <w:footnoteRef/>
      </w:r>
      <w:r w:rsidRPr="00777626">
        <w:rPr>
          <w:sz w:val="16"/>
          <w:szCs w:val="16"/>
        </w:rPr>
        <w:t xml:space="preserve"> In particolare l’Area Ispezioni e Certificazioni, l’Area Autorizzazioni Medicinali, il Settore HTA ed economia del farmaco, </w:t>
      </w:r>
      <w:r w:rsidR="00A6278E">
        <w:rPr>
          <w:sz w:val="16"/>
          <w:szCs w:val="16"/>
        </w:rPr>
        <w:t>i</w:t>
      </w:r>
      <w:r w:rsidRPr="00777626">
        <w:rPr>
          <w:sz w:val="16"/>
          <w:szCs w:val="16"/>
        </w:rPr>
        <w:t>l Settore ICT</w:t>
      </w:r>
      <w:r w:rsidR="00A6278E">
        <w:rPr>
          <w:sz w:val="16"/>
          <w:szCs w:val="16"/>
        </w:rPr>
        <w:t xml:space="preserve"> </w:t>
      </w:r>
      <w:r w:rsidRPr="00777626">
        <w:rPr>
          <w:sz w:val="16"/>
          <w:szCs w:val="16"/>
        </w:rPr>
        <w:t>e l’Area Legale.</w:t>
      </w:r>
    </w:p>
  </w:footnote>
  <w:footnote w:id="6">
    <w:p w14:paraId="3FAC8413" w14:textId="38FCC459" w:rsidR="00E119D6" w:rsidRPr="00777626" w:rsidRDefault="00E119D6" w:rsidP="00777626">
      <w:pPr>
        <w:pStyle w:val="Testonotaapidipagina"/>
        <w:jc w:val="both"/>
        <w:rPr>
          <w:sz w:val="16"/>
          <w:szCs w:val="16"/>
        </w:rPr>
      </w:pPr>
      <w:r w:rsidRPr="00777626">
        <w:rPr>
          <w:rStyle w:val="Rimandonotaapidipagina"/>
          <w:sz w:val="16"/>
          <w:szCs w:val="16"/>
        </w:rPr>
        <w:footnoteRef/>
      </w:r>
      <w:r w:rsidRPr="00777626">
        <w:rPr>
          <w:sz w:val="16"/>
          <w:szCs w:val="16"/>
        </w:rPr>
        <w:t xml:space="preserve"> Medicinali omeopatici, Generatori di radionuclidi, Kit, Precursori di radionuclidi, Medicinali per terapia avanzata contenenti o costituiti da tessuti o cellule, Gas medicinali, Soluzioni per nutrizione parenterale il cui codice ATC (anatomico, terapeutico, chimico) inizia con B05BA, Soluzioni che influenzano l'equilibrio elettrolitico il cui codice ATC inizia con B05BB, Soluzioni che favoriscono la diuresi osmotica il cui codice ATC inizia con B05BC, Additivi per soluzioni endovena il cui codice ATC inizia con B05X, Solventi e diluenti, comprese le soluzioni detergenti, il cui codice ATC inizia con V07AB, Mezzi di contrasto il cui codice ATC inizia con V08, Test allergologici il cui codice ATC inizia con V04CL e Estratti allergenici il cui codice ATC inizia con V01AA. </w:t>
      </w:r>
    </w:p>
  </w:footnote>
  <w:footnote w:id="7">
    <w:p w14:paraId="234DBFF1" w14:textId="6AD10757" w:rsidR="00CA6FBE" w:rsidRDefault="00CA6FBE" w:rsidP="00777626">
      <w:pPr>
        <w:pStyle w:val="Testonotaapidipagina"/>
        <w:jc w:val="both"/>
      </w:pPr>
      <w:r w:rsidRPr="00777626">
        <w:rPr>
          <w:rStyle w:val="Rimandonotaapidipagina"/>
          <w:sz w:val="16"/>
          <w:szCs w:val="16"/>
        </w:rPr>
        <w:footnoteRef/>
      </w:r>
      <w:r w:rsidRPr="00777626">
        <w:rPr>
          <w:sz w:val="16"/>
          <w:szCs w:val="16"/>
        </w:rPr>
        <w:t xml:space="preserve"> Le istruzioni operative del sistema di prevenzione delle manomissioni saranno disciplinate con un successivo decreto del Ministro della salute da adottare entro trenta giorni dalla data di entrata in vigore dello Schema di Decreto legislativo.</w:t>
      </w:r>
    </w:p>
  </w:footnote>
  <w:footnote w:id="8">
    <w:p w14:paraId="528CA806" w14:textId="31F005CA" w:rsidR="00E70BE3" w:rsidRPr="00777626" w:rsidRDefault="00E70BE3" w:rsidP="00777626">
      <w:pPr>
        <w:pStyle w:val="Testonotaapidipagina"/>
        <w:jc w:val="both"/>
        <w:rPr>
          <w:i/>
          <w:iCs/>
          <w:sz w:val="16"/>
          <w:szCs w:val="16"/>
        </w:rPr>
      </w:pPr>
      <w:r w:rsidRPr="00777626">
        <w:rPr>
          <w:rStyle w:val="Rimandonotaapidipagina"/>
          <w:sz w:val="16"/>
          <w:szCs w:val="16"/>
        </w:rPr>
        <w:footnoteRef/>
      </w:r>
      <w:r w:rsidRPr="00777626">
        <w:rPr>
          <w:sz w:val="16"/>
          <w:szCs w:val="16"/>
        </w:rPr>
        <w:t xml:space="preserve"> Tale normativa dispone: </w:t>
      </w:r>
      <w:r>
        <w:rPr>
          <w:sz w:val="16"/>
          <w:szCs w:val="16"/>
        </w:rPr>
        <w:t>“</w:t>
      </w:r>
      <w:r w:rsidRPr="00777626">
        <w:rPr>
          <w:i/>
          <w:iCs/>
          <w:sz w:val="16"/>
          <w:szCs w:val="16"/>
        </w:rPr>
        <w:t>5. Per ogni modifica delle condizioni essenziali in base alle quali è stata rilasciata l'autorizzazione deve essere presentata domanda all'AIFA, che provvede sulla stessa entro il termine di trenta giorni, prorogabile fino a novanta giorni in casi eccezionali, fatta salva l'applicazione del comma 4.</w:t>
      </w:r>
    </w:p>
    <w:p w14:paraId="08EE95F2" w14:textId="605EC6B4" w:rsidR="00E70BE3" w:rsidRDefault="00E70BE3" w:rsidP="00777626">
      <w:pPr>
        <w:pStyle w:val="Testonotaapidipagina"/>
        <w:jc w:val="both"/>
      </w:pPr>
      <w:r w:rsidRPr="00777626">
        <w:rPr>
          <w:i/>
          <w:iCs/>
          <w:sz w:val="16"/>
          <w:szCs w:val="16"/>
        </w:rPr>
        <w:t>5-bis. Con apposita determinazione, da adottarsi entro il 29 febbraio 2008, l'AIFA individua le modifiche, diverse da quelle previste al comma 5, che l'interessato è tenuto a comunicare alla stessa Agenzia</w:t>
      </w:r>
      <w:r w:rsidRPr="00777626">
        <w:rPr>
          <w:sz w:val="16"/>
          <w:szCs w:val="16"/>
        </w:rPr>
        <w:t>.</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502337"/>
      <w:docPartObj>
        <w:docPartGallery w:val="Watermarks"/>
        <w:docPartUnique/>
      </w:docPartObj>
    </w:sdtPr>
    <w:sdtEndPr/>
    <w:sdtContent>
      <w:p w14:paraId="0DD47857" w14:textId="77777777" w:rsidR="00A1766B" w:rsidRDefault="00C25522">
        <w:pPr>
          <w:pStyle w:val="Intestazione"/>
        </w:pPr>
        <w:r>
          <w:pict w14:anchorId="1E901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2754"/>
    <w:multiLevelType w:val="hybridMultilevel"/>
    <w:tmpl w:val="B88A3B40"/>
    <w:lvl w:ilvl="0" w:tplc="60DC3F52">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A32CE"/>
    <w:multiLevelType w:val="hybridMultilevel"/>
    <w:tmpl w:val="48380F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73006F"/>
    <w:multiLevelType w:val="hybridMultilevel"/>
    <w:tmpl w:val="71A8AD80"/>
    <w:lvl w:ilvl="0" w:tplc="A4E472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A170D2"/>
    <w:multiLevelType w:val="hybridMultilevel"/>
    <w:tmpl w:val="EC2E259A"/>
    <w:lvl w:ilvl="0" w:tplc="944465D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2B5441"/>
    <w:multiLevelType w:val="hybridMultilevel"/>
    <w:tmpl w:val="339E860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14C0C79"/>
    <w:multiLevelType w:val="hybridMultilevel"/>
    <w:tmpl w:val="6EF2AF24"/>
    <w:lvl w:ilvl="0" w:tplc="6AC69B8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A63A80"/>
    <w:multiLevelType w:val="hybridMultilevel"/>
    <w:tmpl w:val="EC7623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304110"/>
    <w:multiLevelType w:val="hybridMultilevel"/>
    <w:tmpl w:val="23A4C174"/>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374849"/>
    <w:multiLevelType w:val="hybridMultilevel"/>
    <w:tmpl w:val="FBFC8260"/>
    <w:lvl w:ilvl="0" w:tplc="944465D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B315BE"/>
    <w:multiLevelType w:val="hybridMultilevel"/>
    <w:tmpl w:val="A1663D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C3264D"/>
    <w:multiLevelType w:val="hybridMultilevel"/>
    <w:tmpl w:val="D3C003EC"/>
    <w:lvl w:ilvl="0" w:tplc="D5720CC2">
      <w:numFmt w:val="bullet"/>
      <w:lvlText w:val="-"/>
      <w:lvlJc w:val="left"/>
      <w:pPr>
        <w:ind w:left="1129" w:hanging="360"/>
      </w:pPr>
      <w:rPr>
        <w:rFonts w:ascii="Times New Roman" w:eastAsiaTheme="minorHAnsi" w:hAnsi="Times New Roman" w:cs="Times New Roman" w:hint="default"/>
        <w:color w:val="auto"/>
      </w:rPr>
    </w:lvl>
    <w:lvl w:ilvl="1" w:tplc="04100003" w:tentative="1">
      <w:start w:val="1"/>
      <w:numFmt w:val="bullet"/>
      <w:lvlText w:val="o"/>
      <w:lvlJc w:val="left"/>
      <w:pPr>
        <w:ind w:left="1849" w:hanging="360"/>
      </w:pPr>
      <w:rPr>
        <w:rFonts w:ascii="Courier New" w:hAnsi="Courier New" w:cs="Courier New" w:hint="default"/>
      </w:rPr>
    </w:lvl>
    <w:lvl w:ilvl="2" w:tplc="04100005" w:tentative="1">
      <w:start w:val="1"/>
      <w:numFmt w:val="bullet"/>
      <w:lvlText w:val=""/>
      <w:lvlJc w:val="left"/>
      <w:pPr>
        <w:ind w:left="2569" w:hanging="360"/>
      </w:pPr>
      <w:rPr>
        <w:rFonts w:ascii="Wingdings" w:hAnsi="Wingdings" w:hint="default"/>
      </w:rPr>
    </w:lvl>
    <w:lvl w:ilvl="3" w:tplc="04100001" w:tentative="1">
      <w:start w:val="1"/>
      <w:numFmt w:val="bullet"/>
      <w:lvlText w:val=""/>
      <w:lvlJc w:val="left"/>
      <w:pPr>
        <w:ind w:left="3289" w:hanging="360"/>
      </w:pPr>
      <w:rPr>
        <w:rFonts w:ascii="Symbol" w:hAnsi="Symbol" w:hint="default"/>
      </w:rPr>
    </w:lvl>
    <w:lvl w:ilvl="4" w:tplc="04100003" w:tentative="1">
      <w:start w:val="1"/>
      <w:numFmt w:val="bullet"/>
      <w:lvlText w:val="o"/>
      <w:lvlJc w:val="left"/>
      <w:pPr>
        <w:ind w:left="4009" w:hanging="360"/>
      </w:pPr>
      <w:rPr>
        <w:rFonts w:ascii="Courier New" w:hAnsi="Courier New" w:cs="Courier New" w:hint="default"/>
      </w:rPr>
    </w:lvl>
    <w:lvl w:ilvl="5" w:tplc="04100005" w:tentative="1">
      <w:start w:val="1"/>
      <w:numFmt w:val="bullet"/>
      <w:lvlText w:val=""/>
      <w:lvlJc w:val="left"/>
      <w:pPr>
        <w:ind w:left="4729" w:hanging="360"/>
      </w:pPr>
      <w:rPr>
        <w:rFonts w:ascii="Wingdings" w:hAnsi="Wingdings" w:hint="default"/>
      </w:rPr>
    </w:lvl>
    <w:lvl w:ilvl="6" w:tplc="04100001" w:tentative="1">
      <w:start w:val="1"/>
      <w:numFmt w:val="bullet"/>
      <w:lvlText w:val=""/>
      <w:lvlJc w:val="left"/>
      <w:pPr>
        <w:ind w:left="5449" w:hanging="360"/>
      </w:pPr>
      <w:rPr>
        <w:rFonts w:ascii="Symbol" w:hAnsi="Symbol" w:hint="default"/>
      </w:rPr>
    </w:lvl>
    <w:lvl w:ilvl="7" w:tplc="04100003" w:tentative="1">
      <w:start w:val="1"/>
      <w:numFmt w:val="bullet"/>
      <w:lvlText w:val="o"/>
      <w:lvlJc w:val="left"/>
      <w:pPr>
        <w:ind w:left="6169" w:hanging="360"/>
      </w:pPr>
      <w:rPr>
        <w:rFonts w:ascii="Courier New" w:hAnsi="Courier New" w:cs="Courier New" w:hint="default"/>
      </w:rPr>
    </w:lvl>
    <w:lvl w:ilvl="8" w:tplc="04100005" w:tentative="1">
      <w:start w:val="1"/>
      <w:numFmt w:val="bullet"/>
      <w:lvlText w:val=""/>
      <w:lvlJc w:val="left"/>
      <w:pPr>
        <w:ind w:left="6889" w:hanging="360"/>
      </w:pPr>
      <w:rPr>
        <w:rFonts w:ascii="Wingdings" w:hAnsi="Wingdings" w:hint="default"/>
      </w:rPr>
    </w:lvl>
  </w:abstractNum>
  <w:abstractNum w:abstractNumId="11" w15:restartNumberingAfterBreak="0">
    <w:nsid w:val="38682A13"/>
    <w:multiLevelType w:val="hybridMultilevel"/>
    <w:tmpl w:val="CEA2B6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5E4C8F"/>
    <w:multiLevelType w:val="hybridMultilevel"/>
    <w:tmpl w:val="B7CE0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D8771D"/>
    <w:multiLevelType w:val="hybridMultilevel"/>
    <w:tmpl w:val="E2F21C5E"/>
    <w:lvl w:ilvl="0" w:tplc="04100011">
      <w:start w:val="1"/>
      <w:numFmt w:val="decimal"/>
      <w:lvlText w:val="%1)"/>
      <w:lvlJc w:val="left"/>
      <w:pPr>
        <w:ind w:left="2148" w:hanging="360"/>
      </w:pPr>
    </w:lvl>
    <w:lvl w:ilvl="1" w:tplc="04100019" w:tentative="1">
      <w:start w:val="1"/>
      <w:numFmt w:val="lowerLetter"/>
      <w:lvlText w:val="%2."/>
      <w:lvlJc w:val="left"/>
      <w:pPr>
        <w:ind w:left="2868" w:hanging="360"/>
      </w:pPr>
    </w:lvl>
    <w:lvl w:ilvl="2" w:tplc="0410001B" w:tentative="1">
      <w:start w:val="1"/>
      <w:numFmt w:val="lowerRoman"/>
      <w:lvlText w:val="%3."/>
      <w:lvlJc w:val="right"/>
      <w:pPr>
        <w:ind w:left="3588" w:hanging="180"/>
      </w:pPr>
    </w:lvl>
    <w:lvl w:ilvl="3" w:tplc="0410000F" w:tentative="1">
      <w:start w:val="1"/>
      <w:numFmt w:val="decimal"/>
      <w:lvlText w:val="%4."/>
      <w:lvlJc w:val="left"/>
      <w:pPr>
        <w:ind w:left="4308" w:hanging="360"/>
      </w:pPr>
    </w:lvl>
    <w:lvl w:ilvl="4" w:tplc="04100019" w:tentative="1">
      <w:start w:val="1"/>
      <w:numFmt w:val="lowerLetter"/>
      <w:lvlText w:val="%5."/>
      <w:lvlJc w:val="left"/>
      <w:pPr>
        <w:ind w:left="5028" w:hanging="360"/>
      </w:pPr>
    </w:lvl>
    <w:lvl w:ilvl="5" w:tplc="0410001B" w:tentative="1">
      <w:start w:val="1"/>
      <w:numFmt w:val="lowerRoman"/>
      <w:lvlText w:val="%6."/>
      <w:lvlJc w:val="right"/>
      <w:pPr>
        <w:ind w:left="5748" w:hanging="180"/>
      </w:pPr>
    </w:lvl>
    <w:lvl w:ilvl="6" w:tplc="0410000F" w:tentative="1">
      <w:start w:val="1"/>
      <w:numFmt w:val="decimal"/>
      <w:lvlText w:val="%7."/>
      <w:lvlJc w:val="left"/>
      <w:pPr>
        <w:ind w:left="6468" w:hanging="360"/>
      </w:pPr>
    </w:lvl>
    <w:lvl w:ilvl="7" w:tplc="04100019" w:tentative="1">
      <w:start w:val="1"/>
      <w:numFmt w:val="lowerLetter"/>
      <w:lvlText w:val="%8."/>
      <w:lvlJc w:val="left"/>
      <w:pPr>
        <w:ind w:left="7188" w:hanging="360"/>
      </w:pPr>
    </w:lvl>
    <w:lvl w:ilvl="8" w:tplc="0410001B" w:tentative="1">
      <w:start w:val="1"/>
      <w:numFmt w:val="lowerRoman"/>
      <w:lvlText w:val="%9."/>
      <w:lvlJc w:val="right"/>
      <w:pPr>
        <w:ind w:left="7908" w:hanging="180"/>
      </w:pPr>
    </w:lvl>
  </w:abstractNum>
  <w:abstractNum w:abstractNumId="14" w15:restartNumberingAfterBreak="0">
    <w:nsid w:val="40DC67AA"/>
    <w:multiLevelType w:val="hybridMultilevel"/>
    <w:tmpl w:val="850481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0B09F2"/>
    <w:multiLevelType w:val="hybridMultilevel"/>
    <w:tmpl w:val="55AC2532"/>
    <w:lvl w:ilvl="0" w:tplc="47B426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225D60"/>
    <w:multiLevelType w:val="hybridMultilevel"/>
    <w:tmpl w:val="7200EB6C"/>
    <w:lvl w:ilvl="0" w:tplc="1564EC5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FD3457"/>
    <w:multiLevelType w:val="hybridMultilevel"/>
    <w:tmpl w:val="46E093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1630A"/>
    <w:multiLevelType w:val="hybridMultilevel"/>
    <w:tmpl w:val="97A8764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9" w15:restartNumberingAfterBreak="0">
    <w:nsid w:val="60B140AC"/>
    <w:multiLevelType w:val="hybridMultilevel"/>
    <w:tmpl w:val="ACA82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FC0118"/>
    <w:multiLevelType w:val="hybridMultilevel"/>
    <w:tmpl w:val="91282A7C"/>
    <w:lvl w:ilvl="0" w:tplc="6D0251EE">
      <w:numFmt w:val="bullet"/>
      <w:lvlText w:val="-"/>
      <w:lvlJc w:val="left"/>
      <w:pPr>
        <w:ind w:left="927" w:hanging="360"/>
      </w:pPr>
      <w:rPr>
        <w:rFonts w:ascii="&amp;quot" w:eastAsia="Times New Roman" w:hAnsi="&amp;quot"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1" w15:restartNumberingAfterBreak="0">
    <w:nsid w:val="78731745"/>
    <w:multiLevelType w:val="hybridMultilevel"/>
    <w:tmpl w:val="ED04697C"/>
    <w:lvl w:ilvl="0" w:tplc="6E44A1D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444311"/>
    <w:multiLevelType w:val="hybridMultilevel"/>
    <w:tmpl w:val="548035DE"/>
    <w:lvl w:ilvl="0" w:tplc="04100019">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3" w15:restartNumberingAfterBreak="0">
    <w:nsid w:val="7F9B2CE5"/>
    <w:multiLevelType w:val="hybridMultilevel"/>
    <w:tmpl w:val="F08842C0"/>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63129362">
    <w:abstractNumId w:val="17"/>
  </w:num>
  <w:num w:numId="2" w16cid:durableId="420950184">
    <w:abstractNumId w:val="21"/>
  </w:num>
  <w:num w:numId="3" w16cid:durableId="563224773">
    <w:abstractNumId w:val="3"/>
  </w:num>
  <w:num w:numId="4" w16cid:durableId="24451046">
    <w:abstractNumId w:val="4"/>
  </w:num>
  <w:num w:numId="5" w16cid:durableId="1218010280">
    <w:abstractNumId w:val="8"/>
  </w:num>
  <w:num w:numId="6" w16cid:durableId="1483699069">
    <w:abstractNumId w:val="14"/>
  </w:num>
  <w:num w:numId="7" w16cid:durableId="988900094">
    <w:abstractNumId w:val="11"/>
  </w:num>
  <w:num w:numId="8" w16cid:durableId="1858883168">
    <w:abstractNumId w:val="0"/>
  </w:num>
  <w:num w:numId="9" w16cid:durableId="2008363810">
    <w:abstractNumId w:val="20"/>
  </w:num>
  <w:num w:numId="10" w16cid:durableId="260912793">
    <w:abstractNumId w:val="15"/>
  </w:num>
  <w:num w:numId="11" w16cid:durableId="951861997">
    <w:abstractNumId w:val="16"/>
  </w:num>
  <w:num w:numId="12" w16cid:durableId="1840776893">
    <w:abstractNumId w:val="10"/>
  </w:num>
  <w:num w:numId="13" w16cid:durableId="1647317997">
    <w:abstractNumId w:val="5"/>
  </w:num>
  <w:num w:numId="14" w16cid:durableId="1860968070">
    <w:abstractNumId w:val="9"/>
  </w:num>
  <w:num w:numId="15" w16cid:durableId="768160809">
    <w:abstractNumId w:val="18"/>
  </w:num>
  <w:num w:numId="16" w16cid:durableId="630016363">
    <w:abstractNumId w:val="13"/>
  </w:num>
  <w:num w:numId="17" w16cid:durableId="1748847367">
    <w:abstractNumId w:val="22"/>
  </w:num>
  <w:num w:numId="18" w16cid:durableId="1316687030">
    <w:abstractNumId w:val="12"/>
  </w:num>
  <w:num w:numId="19" w16cid:durableId="1322655698">
    <w:abstractNumId w:val="19"/>
  </w:num>
  <w:num w:numId="20" w16cid:durableId="371075016">
    <w:abstractNumId w:val="2"/>
  </w:num>
  <w:num w:numId="21" w16cid:durableId="2142258594">
    <w:abstractNumId w:val="1"/>
  </w:num>
  <w:num w:numId="22" w16cid:durableId="1434932917">
    <w:abstractNumId w:val="6"/>
  </w:num>
  <w:num w:numId="23" w16cid:durableId="2010057751">
    <w:abstractNumId w:val="23"/>
  </w:num>
  <w:num w:numId="24" w16cid:durableId="1337880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9D"/>
    <w:rsid w:val="00032322"/>
    <w:rsid w:val="00040A53"/>
    <w:rsid w:val="0007044F"/>
    <w:rsid w:val="000708AD"/>
    <w:rsid w:val="00074C85"/>
    <w:rsid w:val="0008084B"/>
    <w:rsid w:val="0008284B"/>
    <w:rsid w:val="000943ED"/>
    <w:rsid w:val="000A131B"/>
    <w:rsid w:val="000A5800"/>
    <w:rsid w:val="000B1431"/>
    <w:rsid w:val="000B5DC7"/>
    <w:rsid w:val="000C0EEE"/>
    <w:rsid w:val="000C7675"/>
    <w:rsid w:val="000C7827"/>
    <w:rsid w:val="0010503F"/>
    <w:rsid w:val="0010674D"/>
    <w:rsid w:val="001107A5"/>
    <w:rsid w:val="001128E8"/>
    <w:rsid w:val="00120F11"/>
    <w:rsid w:val="00121CA5"/>
    <w:rsid w:val="001236B0"/>
    <w:rsid w:val="0015136F"/>
    <w:rsid w:val="00153A2D"/>
    <w:rsid w:val="00157588"/>
    <w:rsid w:val="0016044D"/>
    <w:rsid w:val="00180DDB"/>
    <w:rsid w:val="001858F1"/>
    <w:rsid w:val="00191894"/>
    <w:rsid w:val="001923F3"/>
    <w:rsid w:val="001A5619"/>
    <w:rsid w:val="001A5773"/>
    <w:rsid w:val="001B4D17"/>
    <w:rsid w:val="001B73F2"/>
    <w:rsid w:val="001B7CEE"/>
    <w:rsid w:val="001C2621"/>
    <w:rsid w:val="001D0A8E"/>
    <w:rsid w:val="001E1E3E"/>
    <w:rsid w:val="001E2B7F"/>
    <w:rsid w:val="001E5ABC"/>
    <w:rsid w:val="00205E2B"/>
    <w:rsid w:val="00213F74"/>
    <w:rsid w:val="00226C02"/>
    <w:rsid w:val="00234889"/>
    <w:rsid w:val="00287107"/>
    <w:rsid w:val="0028791E"/>
    <w:rsid w:val="002A2F5C"/>
    <w:rsid w:val="002A597F"/>
    <w:rsid w:val="002B225D"/>
    <w:rsid w:val="002B656E"/>
    <w:rsid w:val="002B7498"/>
    <w:rsid w:val="002C65F8"/>
    <w:rsid w:val="002C7515"/>
    <w:rsid w:val="002D24BD"/>
    <w:rsid w:val="002D3429"/>
    <w:rsid w:val="002E5824"/>
    <w:rsid w:val="0030305F"/>
    <w:rsid w:val="00305F27"/>
    <w:rsid w:val="003106F6"/>
    <w:rsid w:val="00311CFF"/>
    <w:rsid w:val="003378C9"/>
    <w:rsid w:val="00346537"/>
    <w:rsid w:val="0034760C"/>
    <w:rsid w:val="00351146"/>
    <w:rsid w:val="00364FCD"/>
    <w:rsid w:val="003660CD"/>
    <w:rsid w:val="003702BB"/>
    <w:rsid w:val="00390D38"/>
    <w:rsid w:val="00392517"/>
    <w:rsid w:val="00395482"/>
    <w:rsid w:val="003A368A"/>
    <w:rsid w:val="003A3834"/>
    <w:rsid w:val="003B0BFC"/>
    <w:rsid w:val="003C0682"/>
    <w:rsid w:val="003C2B84"/>
    <w:rsid w:val="003D0703"/>
    <w:rsid w:val="003D105D"/>
    <w:rsid w:val="003D3C07"/>
    <w:rsid w:val="003E3CD5"/>
    <w:rsid w:val="003E7827"/>
    <w:rsid w:val="00424742"/>
    <w:rsid w:val="00433265"/>
    <w:rsid w:val="0044178A"/>
    <w:rsid w:val="00450951"/>
    <w:rsid w:val="0046707A"/>
    <w:rsid w:val="00485775"/>
    <w:rsid w:val="004A1058"/>
    <w:rsid w:val="004A17AB"/>
    <w:rsid w:val="004B30E4"/>
    <w:rsid w:val="004C124F"/>
    <w:rsid w:val="004C75DB"/>
    <w:rsid w:val="004D7C91"/>
    <w:rsid w:val="004D7ED7"/>
    <w:rsid w:val="004E0BCE"/>
    <w:rsid w:val="004E4BC7"/>
    <w:rsid w:val="004F04E8"/>
    <w:rsid w:val="004F3213"/>
    <w:rsid w:val="00503571"/>
    <w:rsid w:val="0050700B"/>
    <w:rsid w:val="00520AC8"/>
    <w:rsid w:val="00523729"/>
    <w:rsid w:val="0053489B"/>
    <w:rsid w:val="00555AA5"/>
    <w:rsid w:val="00564CDA"/>
    <w:rsid w:val="00566686"/>
    <w:rsid w:val="00582EEC"/>
    <w:rsid w:val="00587B71"/>
    <w:rsid w:val="00587D27"/>
    <w:rsid w:val="00593C2F"/>
    <w:rsid w:val="005A1096"/>
    <w:rsid w:val="005A5D73"/>
    <w:rsid w:val="005B0CCA"/>
    <w:rsid w:val="005D25EE"/>
    <w:rsid w:val="005D25F1"/>
    <w:rsid w:val="005E2DB2"/>
    <w:rsid w:val="005E3AD3"/>
    <w:rsid w:val="00610F19"/>
    <w:rsid w:val="006115A7"/>
    <w:rsid w:val="006162DB"/>
    <w:rsid w:val="00617B94"/>
    <w:rsid w:val="006210A0"/>
    <w:rsid w:val="00621DF8"/>
    <w:rsid w:val="006244CD"/>
    <w:rsid w:val="006251A4"/>
    <w:rsid w:val="00626C9B"/>
    <w:rsid w:val="00627683"/>
    <w:rsid w:val="00631A6F"/>
    <w:rsid w:val="00640491"/>
    <w:rsid w:val="006622B9"/>
    <w:rsid w:val="00662F24"/>
    <w:rsid w:val="00665D49"/>
    <w:rsid w:val="0067181B"/>
    <w:rsid w:val="00674D76"/>
    <w:rsid w:val="00680C73"/>
    <w:rsid w:val="006A4090"/>
    <w:rsid w:val="006B70EC"/>
    <w:rsid w:val="006C6379"/>
    <w:rsid w:val="006F3A12"/>
    <w:rsid w:val="006F3C60"/>
    <w:rsid w:val="006F6A0D"/>
    <w:rsid w:val="007027CD"/>
    <w:rsid w:val="007064F3"/>
    <w:rsid w:val="00706CF5"/>
    <w:rsid w:val="007112EF"/>
    <w:rsid w:val="0071497A"/>
    <w:rsid w:val="007202D2"/>
    <w:rsid w:val="007223D4"/>
    <w:rsid w:val="0072519D"/>
    <w:rsid w:val="0073728B"/>
    <w:rsid w:val="00742C04"/>
    <w:rsid w:val="0074395F"/>
    <w:rsid w:val="00764AFB"/>
    <w:rsid w:val="007740EC"/>
    <w:rsid w:val="00777626"/>
    <w:rsid w:val="007910B5"/>
    <w:rsid w:val="007E3EE9"/>
    <w:rsid w:val="007F0C9E"/>
    <w:rsid w:val="007F59F3"/>
    <w:rsid w:val="00800202"/>
    <w:rsid w:val="008042CC"/>
    <w:rsid w:val="00825D98"/>
    <w:rsid w:val="00831285"/>
    <w:rsid w:val="0083610C"/>
    <w:rsid w:val="0085286B"/>
    <w:rsid w:val="008632C0"/>
    <w:rsid w:val="0087394E"/>
    <w:rsid w:val="00876752"/>
    <w:rsid w:val="00882D21"/>
    <w:rsid w:val="00884EA0"/>
    <w:rsid w:val="008A1921"/>
    <w:rsid w:val="008B08BD"/>
    <w:rsid w:val="008C3E62"/>
    <w:rsid w:val="008C6391"/>
    <w:rsid w:val="008C7320"/>
    <w:rsid w:val="008E1E18"/>
    <w:rsid w:val="008E6679"/>
    <w:rsid w:val="0090461C"/>
    <w:rsid w:val="00911BA9"/>
    <w:rsid w:val="00913B8C"/>
    <w:rsid w:val="0093444F"/>
    <w:rsid w:val="009563EF"/>
    <w:rsid w:val="0096114E"/>
    <w:rsid w:val="00991139"/>
    <w:rsid w:val="0099113B"/>
    <w:rsid w:val="009A6B8F"/>
    <w:rsid w:val="009D5720"/>
    <w:rsid w:val="009D616B"/>
    <w:rsid w:val="009E6250"/>
    <w:rsid w:val="009E741A"/>
    <w:rsid w:val="00A16E77"/>
    <w:rsid w:val="00A17092"/>
    <w:rsid w:val="00A1766B"/>
    <w:rsid w:val="00A262AB"/>
    <w:rsid w:val="00A40C6F"/>
    <w:rsid w:val="00A43141"/>
    <w:rsid w:val="00A4448F"/>
    <w:rsid w:val="00A4623A"/>
    <w:rsid w:val="00A47670"/>
    <w:rsid w:val="00A54CE3"/>
    <w:rsid w:val="00A6278E"/>
    <w:rsid w:val="00A72CAE"/>
    <w:rsid w:val="00A734B5"/>
    <w:rsid w:val="00A7540A"/>
    <w:rsid w:val="00A9188E"/>
    <w:rsid w:val="00A94787"/>
    <w:rsid w:val="00AB1CA0"/>
    <w:rsid w:val="00AC7D6C"/>
    <w:rsid w:val="00AD3264"/>
    <w:rsid w:val="00AD5AE8"/>
    <w:rsid w:val="00AD7B4E"/>
    <w:rsid w:val="00AE5A1A"/>
    <w:rsid w:val="00AE5ACE"/>
    <w:rsid w:val="00B0497A"/>
    <w:rsid w:val="00B144A8"/>
    <w:rsid w:val="00B2361B"/>
    <w:rsid w:val="00B34F12"/>
    <w:rsid w:val="00B353E1"/>
    <w:rsid w:val="00B40D14"/>
    <w:rsid w:val="00B44644"/>
    <w:rsid w:val="00B476B8"/>
    <w:rsid w:val="00B62E57"/>
    <w:rsid w:val="00B70333"/>
    <w:rsid w:val="00B714A6"/>
    <w:rsid w:val="00B74134"/>
    <w:rsid w:val="00B93988"/>
    <w:rsid w:val="00BA38F7"/>
    <w:rsid w:val="00BC2BAE"/>
    <w:rsid w:val="00BC57C5"/>
    <w:rsid w:val="00BD01FB"/>
    <w:rsid w:val="00BD5374"/>
    <w:rsid w:val="00BD6FBE"/>
    <w:rsid w:val="00BE468A"/>
    <w:rsid w:val="00BF2293"/>
    <w:rsid w:val="00C01051"/>
    <w:rsid w:val="00C17753"/>
    <w:rsid w:val="00C25522"/>
    <w:rsid w:val="00C44DC5"/>
    <w:rsid w:val="00C509AD"/>
    <w:rsid w:val="00C60775"/>
    <w:rsid w:val="00C62FA4"/>
    <w:rsid w:val="00C7145A"/>
    <w:rsid w:val="00C77328"/>
    <w:rsid w:val="00C95461"/>
    <w:rsid w:val="00C97DF0"/>
    <w:rsid w:val="00CA4973"/>
    <w:rsid w:val="00CA6FBE"/>
    <w:rsid w:val="00CB4BE7"/>
    <w:rsid w:val="00CC6093"/>
    <w:rsid w:val="00CC6C27"/>
    <w:rsid w:val="00CD5C2B"/>
    <w:rsid w:val="00CE14E2"/>
    <w:rsid w:val="00CF1272"/>
    <w:rsid w:val="00CF4D07"/>
    <w:rsid w:val="00D213C4"/>
    <w:rsid w:val="00D32DA3"/>
    <w:rsid w:val="00D34EF1"/>
    <w:rsid w:val="00D47BD4"/>
    <w:rsid w:val="00D65FB4"/>
    <w:rsid w:val="00D66914"/>
    <w:rsid w:val="00D77B33"/>
    <w:rsid w:val="00D77F7F"/>
    <w:rsid w:val="00D804FF"/>
    <w:rsid w:val="00D858B0"/>
    <w:rsid w:val="00D94A6A"/>
    <w:rsid w:val="00D96090"/>
    <w:rsid w:val="00D979C4"/>
    <w:rsid w:val="00DB3253"/>
    <w:rsid w:val="00DB4213"/>
    <w:rsid w:val="00DF277B"/>
    <w:rsid w:val="00DF2AFD"/>
    <w:rsid w:val="00E05350"/>
    <w:rsid w:val="00E06E0D"/>
    <w:rsid w:val="00E119D6"/>
    <w:rsid w:val="00E151C4"/>
    <w:rsid w:val="00E4459B"/>
    <w:rsid w:val="00E4523B"/>
    <w:rsid w:val="00E65DD0"/>
    <w:rsid w:val="00E70BE3"/>
    <w:rsid w:val="00EA0C1A"/>
    <w:rsid w:val="00EB7C6C"/>
    <w:rsid w:val="00ED18E3"/>
    <w:rsid w:val="00ED4402"/>
    <w:rsid w:val="00ED7C4F"/>
    <w:rsid w:val="00ED7E1E"/>
    <w:rsid w:val="00F14AD2"/>
    <w:rsid w:val="00F16C8F"/>
    <w:rsid w:val="00F21CF9"/>
    <w:rsid w:val="00F3144E"/>
    <w:rsid w:val="00F31619"/>
    <w:rsid w:val="00F340A1"/>
    <w:rsid w:val="00F41F56"/>
    <w:rsid w:val="00F57624"/>
    <w:rsid w:val="00F65F7F"/>
    <w:rsid w:val="00F80B3B"/>
    <w:rsid w:val="00F818DE"/>
    <w:rsid w:val="00F85EF3"/>
    <w:rsid w:val="00F8656B"/>
    <w:rsid w:val="00F92CA6"/>
    <w:rsid w:val="00F96AE3"/>
    <w:rsid w:val="00FA4D36"/>
    <w:rsid w:val="00FB4C4F"/>
    <w:rsid w:val="00FC1A08"/>
    <w:rsid w:val="00FC5E39"/>
    <w:rsid w:val="00FC5FE7"/>
    <w:rsid w:val="00FD08E5"/>
    <w:rsid w:val="00FE64E5"/>
    <w:rsid w:val="00FF0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38E65"/>
  <w15:chartTrackingRefBased/>
  <w15:docId w15:val="{8ACAAA78-171A-4E94-84FC-850301AE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C75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BC2B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621D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93C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3C2F"/>
  </w:style>
  <w:style w:type="paragraph" w:styleId="Pidipagina">
    <w:name w:val="footer"/>
    <w:basedOn w:val="Normale"/>
    <w:link w:val="PidipaginaCarattere"/>
    <w:uiPriority w:val="99"/>
    <w:unhideWhenUsed/>
    <w:rsid w:val="00593C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3C2F"/>
  </w:style>
  <w:style w:type="paragraph" w:styleId="Paragrafoelenco">
    <w:name w:val="List Paragraph"/>
    <w:basedOn w:val="Normale"/>
    <w:uiPriority w:val="34"/>
    <w:qFormat/>
    <w:rsid w:val="00617B94"/>
    <w:pPr>
      <w:ind w:left="720"/>
      <w:contextualSpacing/>
    </w:pPr>
  </w:style>
  <w:style w:type="character" w:customStyle="1" w:styleId="Titolo3Carattere">
    <w:name w:val="Titolo 3 Carattere"/>
    <w:basedOn w:val="Carpredefinitoparagrafo"/>
    <w:link w:val="Titolo3"/>
    <w:uiPriority w:val="9"/>
    <w:rsid w:val="00621DF8"/>
    <w:rPr>
      <w:rFonts w:asciiTheme="majorHAnsi" w:eastAsiaTheme="majorEastAsia" w:hAnsiTheme="majorHAnsi" w:cstheme="majorBidi"/>
      <w:color w:val="1F4D78" w:themeColor="accent1" w:themeShade="7F"/>
      <w:sz w:val="24"/>
      <w:szCs w:val="24"/>
    </w:rPr>
  </w:style>
  <w:style w:type="paragraph" w:styleId="NormaleWeb">
    <w:name w:val="Normal (Web)"/>
    <w:basedOn w:val="Normale"/>
    <w:uiPriority w:val="99"/>
    <w:unhideWhenUsed/>
    <w:rsid w:val="003E782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nfasicorsivo">
    <w:name w:val="Emphasis"/>
    <w:basedOn w:val="Carpredefinitoparagrafo"/>
    <w:uiPriority w:val="20"/>
    <w:qFormat/>
    <w:rsid w:val="00F85EF3"/>
    <w:rPr>
      <w:i/>
      <w:iCs/>
    </w:rPr>
  </w:style>
  <w:style w:type="paragraph" w:styleId="PreformattatoHTML">
    <w:name w:val="HTML Preformatted"/>
    <w:basedOn w:val="Normale"/>
    <w:link w:val="PreformattatoHTMLCarattere"/>
    <w:uiPriority w:val="99"/>
    <w:unhideWhenUsed/>
    <w:rsid w:val="00BD5374"/>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BD5374"/>
    <w:rPr>
      <w:rFonts w:ascii="Consolas" w:hAnsi="Consolas" w:cs="Consolas"/>
      <w:sz w:val="20"/>
      <w:szCs w:val="20"/>
    </w:rPr>
  </w:style>
  <w:style w:type="paragraph" w:customStyle="1" w:styleId="Stile1">
    <w:name w:val="Stile1"/>
    <w:basedOn w:val="Titolo1"/>
    <w:rsid w:val="004C75DB"/>
    <w:pPr>
      <w:keepLines w:val="0"/>
      <w:widowControl w:val="0"/>
      <w:spacing w:after="60" w:line="1300" w:lineRule="exact"/>
      <w:jc w:val="center"/>
    </w:pPr>
    <w:rPr>
      <w:rFonts w:ascii="Kunstler Script" w:eastAsia="Times New Roman" w:hAnsi="Kunstler Script" w:cs="Arial"/>
      <w:b/>
      <w:bCs/>
      <w:color w:val="auto"/>
      <w:kern w:val="32"/>
      <w:sz w:val="104"/>
      <w:szCs w:val="104"/>
      <w:lang w:val="x-none" w:eastAsia="it-IT"/>
    </w:rPr>
  </w:style>
  <w:style w:type="character" w:customStyle="1" w:styleId="Titolo1Carattere">
    <w:name w:val="Titolo 1 Carattere"/>
    <w:basedOn w:val="Carpredefinitoparagrafo"/>
    <w:link w:val="Titolo1"/>
    <w:uiPriority w:val="9"/>
    <w:rsid w:val="004C75DB"/>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5035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3571"/>
    <w:rPr>
      <w:rFonts w:ascii="Segoe UI" w:hAnsi="Segoe UI" w:cs="Segoe UI"/>
      <w:sz w:val="18"/>
      <w:szCs w:val="18"/>
    </w:rPr>
  </w:style>
  <w:style w:type="table" w:styleId="Grigliatabella">
    <w:name w:val="Table Grid"/>
    <w:basedOn w:val="Tabellanormale"/>
    <w:uiPriority w:val="39"/>
    <w:rsid w:val="0034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378C9"/>
    <w:rPr>
      <w:color w:val="0563C1" w:themeColor="hyperlink"/>
      <w:u w:val="single"/>
    </w:rPr>
  </w:style>
  <w:style w:type="paragraph" w:styleId="Revisione">
    <w:name w:val="Revision"/>
    <w:hidden/>
    <w:uiPriority w:val="99"/>
    <w:semiHidden/>
    <w:rsid w:val="00C77328"/>
    <w:pPr>
      <w:spacing w:after="0" w:line="240" w:lineRule="auto"/>
    </w:pPr>
  </w:style>
  <w:style w:type="paragraph" w:styleId="Testonotaapidipagina">
    <w:name w:val="footnote text"/>
    <w:basedOn w:val="Normale"/>
    <w:link w:val="TestonotaapidipaginaCarattere"/>
    <w:uiPriority w:val="99"/>
    <w:semiHidden/>
    <w:unhideWhenUsed/>
    <w:rsid w:val="00C7732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77328"/>
    <w:rPr>
      <w:sz w:val="20"/>
      <w:szCs w:val="20"/>
    </w:rPr>
  </w:style>
  <w:style w:type="character" w:styleId="Rimandonotaapidipagina">
    <w:name w:val="footnote reference"/>
    <w:basedOn w:val="Carpredefinitoparagrafo"/>
    <w:uiPriority w:val="99"/>
    <w:semiHidden/>
    <w:unhideWhenUsed/>
    <w:rsid w:val="00C77328"/>
    <w:rPr>
      <w:vertAlign w:val="superscript"/>
    </w:rPr>
  </w:style>
  <w:style w:type="character" w:customStyle="1" w:styleId="Titolo2Carattere">
    <w:name w:val="Titolo 2 Carattere"/>
    <w:basedOn w:val="Carpredefinitoparagrafo"/>
    <w:link w:val="Titolo2"/>
    <w:uiPriority w:val="9"/>
    <w:semiHidden/>
    <w:rsid w:val="00BC2BAE"/>
    <w:rPr>
      <w:rFonts w:asciiTheme="majorHAnsi" w:eastAsiaTheme="majorEastAsia" w:hAnsiTheme="majorHAnsi" w:cstheme="majorBidi"/>
      <w:color w:val="2E74B5" w:themeColor="accent1" w:themeShade="BF"/>
      <w:sz w:val="26"/>
      <w:szCs w:val="26"/>
    </w:rPr>
  </w:style>
  <w:style w:type="character" w:styleId="Menzionenonrisolta">
    <w:name w:val="Unresolved Mention"/>
    <w:basedOn w:val="Carpredefinitoparagrafo"/>
    <w:uiPriority w:val="99"/>
    <w:semiHidden/>
    <w:unhideWhenUsed/>
    <w:rsid w:val="00B74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78097">
      <w:bodyDiv w:val="1"/>
      <w:marLeft w:val="0"/>
      <w:marRight w:val="0"/>
      <w:marTop w:val="0"/>
      <w:marBottom w:val="0"/>
      <w:divBdr>
        <w:top w:val="none" w:sz="0" w:space="0" w:color="auto"/>
        <w:left w:val="none" w:sz="0" w:space="0" w:color="auto"/>
        <w:bottom w:val="none" w:sz="0" w:space="0" w:color="auto"/>
        <w:right w:val="none" w:sz="0" w:space="0" w:color="auto"/>
      </w:divBdr>
    </w:div>
    <w:div w:id="533545221">
      <w:bodyDiv w:val="1"/>
      <w:marLeft w:val="0"/>
      <w:marRight w:val="0"/>
      <w:marTop w:val="0"/>
      <w:marBottom w:val="0"/>
      <w:divBdr>
        <w:top w:val="none" w:sz="0" w:space="0" w:color="auto"/>
        <w:left w:val="none" w:sz="0" w:space="0" w:color="auto"/>
        <w:bottom w:val="none" w:sz="0" w:space="0" w:color="auto"/>
        <w:right w:val="none" w:sz="0" w:space="0" w:color="auto"/>
      </w:divBdr>
    </w:div>
    <w:div w:id="593906680">
      <w:bodyDiv w:val="1"/>
      <w:marLeft w:val="0"/>
      <w:marRight w:val="0"/>
      <w:marTop w:val="0"/>
      <w:marBottom w:val="0"/>
      <w:divBdr>
        <w:top w:val="none" w:sz="0" w:space="0" w:color="auto"/>
        <w:left w:val="none" w:sz="0" w:space="0" w:color="auto"/>
        <w:bottom w:val="none" w:sz="0" w:space="0" w:color="auto"/>
        <w:right w:val="none" w:sz="0" w:space="0" w:color="auto"/>
      </w:divBdr>
    </w:div>
    <w:div w:id="776102640">
      <w:bodyDiv w:val="1"/>
      <w:marLeft w:val="0"/>
      <w:marRight w:val="0"/>
      <w:marTop w:val="0"/>
      <w:marBottom w:val="0"/>
      <w:divBdr>
        <w:top w:val="none" w:sz="0" w:space="0" w:color="auto"/>
        <w:left w:val="none" w:sz="0" w:space="0" w:color="auto"/>
        <w:bottom w:val="none" w:sz="0" w:space="0" w:color="auto"/>
        <w:right w:val="none" w:sz="0" w:space="0" w:color="auto"/>
      </w:divBdr>
    </w:div>
    <w:div w:id="950940820">
      <w:bodyDiv w:val="1"/>
      <w:marLeft w:val="0"/>
      <w:marRight w:val="0"/>
      <w:marTop w:val="0"/>
      <w:marBottom w:val="0"/>
      <w:divBdr>
        <w:top w:val="none" w:sz="0" w:space="0" w:color="auto"/>
        <w:left w:val="none" w:sz="0" w:space="0" w:color="auto"/>
        <w:bottom w:val="none" w:sz="0" w:space="0" w:color="auto"/>
        <w:right w:val="none" w:sz="0" w:space="0" w:color="auto"/>
      </w:divBdr>
    </w:div>
    <w:div w:id="1185054428">
      <w:bodyDiv w:val="1"/>
      <w:marLeft w:val="0"/>
      <w:marRight w:val="0"/>
      <w:marTop w:val="0"/>
      <w:marBottom w:val="0"/>
      <w:divBdr>
        <w:top w:val="none" w:sz="0" w:space="0" w:color="auto"/>
        <w:left w:val="none" w:sz="0" w:space="0" w:color="auto"/>
        <w:bottom w:val="none" w:sz="0" w:space="0" w:color="auto"/>
        <w:right w:val="none" w:sz="0" w:space="0" w:color="auto"/>
      </w:divBdr>
    </w:div>
    <w:div w:id="1274898370">
      <w:bodyDiv w:val="1"/>
      <w:marLeft w:val="0"/>
      <w:marRight w:val="0"/>
      <w:marTop w:val="0"/>
      <w:marBottom w:val="0"/>
      <w:divBdr>
        <w:top w:val="none" w:sz="0" w:space="0" w:color="auto"/>
        <w:left w:val="none" w:sz="0" w:space="0" w:color="auto"/>
        <w:bottom w:val="none" w:sz="0" w:space="0" w:color="auto"/>
        <w:right w:val="none" w:sz="0" w:space="0" w:color="auto"/>
      </w:divBdr>
    </w:div>
    <w:div w:id="1335719415">
      <w:bodyDiv w:val="1"/>
      <w:marLeft w:val="0"/>
      <w:marRight w:val="0"/>
      <w:marTop w:val="0"/>
      <w:marBottom w:val="0"/>
      <w:divBdr>
        <w:top w:val="none" w:sz="0" w:space="0" w:color="auto"/>
        <w:left w:val="none" w:sz="0" w:space="0" w:color="auto"/>
        <w:bottom w:val="none" w:sz="0" w:space="0" w:color="auto"/>
        <w:right w:val="none" w:sz="0" w:space="0" w:color="auto"/>
      </w:divBdr>
    </w:div>
    <w:div w:id="1381589225">
      <w:bodyDiv w:val="1"/>
      <w:marLeft w:val="0"/>
      <w:marRight w:val="0"/>
      <w:marTop w:val="0"/>
      <w:marBottom w:val="0"/>
      <w:divBdr>
        <w:top w:val="none" w:sz="0" w:space="0" w:color="auto"/>
        <w:left w:val="none" w:sz="0" w:space="0" w:color="auto"/>
        <w:bottom w:val="none" w:sz="0" w:space="0" w:color="auto"/>
        <w:right w:val="none" w:sz="0" w:space="0" w:color="auto"/>
      </w:divBdr>
    </w:div>
    <w:div w:id="1580670006">
      <w:bodyDiv w:val="1"/>
      <w:marLeft w:val="0"/>
      <w:marRight w:val="0"/>
      <w:marTop w:val="0"/>
      <w:marBottom w:val="0"/>
      <w:divBdr>
        <w:top w:val="none" w:sz="0" w:space="0" w:color="auto"/>
        <w:left w:val="none" w:sz="0" w:space="0" w:color="auto"/>
        <w:bottom w:val="none" w:sz="0" w:space="0" w:color="auto"/>
        <w:right w:val="none" w:sz="0" w:space="0" w:color="auto"/>
      </w:divBdr>
    </w:div>
    <w:div w:id="1625576941">
      <w:bodyDiv w:val="1"/>
      <w:marLeft w:val="0"/>
      <w:marRight w:val="0"/>
      <w:marTop w:val="0"/>
      <w:marBottom w:val="0"/>
      <w:divBdr>
        <w:top w:val="none" w:sz="0" w:space="0" w:color="auto"/>
        <w:left w:val="none" w:sz="0" w:space="0" w:color="auto"/>
        <w:bottom w:val="none" w:sz="0" w:space="0" w:color="auto"/>
        <w:right w:val="none" w:sz="0" w:space="0" w:color="auto"/>
      </w:divBdr>
    </w:div>
    <w:div w:id="1685479283">
      <w:bodyDiv w:val="1"/>
      <w:marLeft w:val="0"/>
      <w:marRight w:val="0"/>
      <w:marTop w:val="0"/>
      <w:marBottom w:val="0"/>
      <w:divBdr>
        <w:top w:val="none" w:sz="0" w:space="0" w:color="auto"/>
        <w:left w:val="none" w:sz="0" w:space="0" w:color="auto"/>
        <w:bottom w:val="none" w:sz="0" w:space="0" w:color="auto"/>
        <w:right w:val="none" w:sz="0" w:space="0" w:color="auto"/>
      </w:divBdr>
    </w:div>
    <w:div w:id="1702582738">
      <w:bodyDiv w:val="1"/>
      <w:marLeft w:val="0"/>
      <w:marRight w:val="0"/>
      <w:marTop w:val="0"/>
      <w:marBottom w:val="0"/>
      <w:divBdr>
        <w:top w:val="none" w:sz="0" w:space="0" w:color="auto"/>
        <w:left w:val="none" w:sz="0" w:space="0" w:color="auto"/>
        <w:bottom w:val="none" w:sz="0" w:space="0" w:color="auto"/>
        <w:right w:val="none" w:sz="0" w:space="0" w:color="auto"/>
      </w:divBdr>
    </w:div>
    <w:div w:id="1770270329">
      <w:bodyDiv w:val="1"/>
      <w:marLeft w:val="0"/>
      <w:marRight w:val="0"/>
      <w:marTop w:val="0"/>
      <w:marBottom w:val="0"/>
      <w:divBdr>
        <w:top w:val="none" w:sz="0" w:space="0" w:color="auto"/>
        <w:left w:val="none" w:sz="0" w:space="0" w:color="auto"/>
        <w:bottom w:val="none" w:sz="0" w:space="0" w:color="auto"/>
        <w:right w:val="none" w:sz="0" w:space="0" w:color="auto"/>
      </w:divBdr>
    </w:div>
    <w:div w:id="1961952019">
      <w:bodyDiv w:val="1"/>
      <w:marLeft w:val="0"/>
      <w:marRight w:val="0"/>
      <w:marTop w:val="0"/>
      <w:marBottom w:val="0"/>
      <w:divBdr>
        <w:top w:val="none" w:sz="0" w:space="0" w:color="auto"/>
        <w:left w:val="none" w:sz="0" w:space="0" w:color="auto"/>
        <w:bottom w:val="none" w:sz="0" w:space="0" w:color="auto"/>
        <w:right w:val="none" w:sz="0" w:space="0" w:color="auto"/>
      </w:divBdr>
    </w:div>
    <w:div w:id="2012755738">
      <w:bodyDiv w:val="1"/>
      <w:marLeft w:val="0"/>
      <w:marRight w:val="0"/>
      <w:marTop w:val="0"/>
      <w:marBottom w:val="0"/>
      <w:divBdr>
        <w:top w:val="none" w:sz="0" w:space="0" w:color="auto"/>
        <w:left w:val="none" w:sz="0" w:space="0" w:color="auto"/>
        <w:bottom w:val="none" w:sz="0" w:space="0" w:color="auto"/>
        <w:right w:val="none" w:sz="0" w:space="0" w:color="auto"/>
      </w:divBdr>
    </w:div>
    <w:div w:id="2016373971">
      <w:bodyDiv w:val="1"/>
      <w:marLeft w:val="0"/>
      <w:marRight w:val="0"/>
      <w:marTop w:val="0"/>
      <w:marBottom w:val="0"/>
      <w:divBdr>
        <w:top w:val="none" w:sz="0" w:space="0" w:color="auto"/>
        <w:left w:val="none" w:sz="0" w:space="0" w:color="auto"/>
        <w:bottom w:val="none" w:sz="0" w:space="0" w:color="auto"/>
        <w:right w:val="none" w:sz="0" w:space="0" w:color="auto"/>
      </w:divBdr>
    </w:div>
    <w:div w:id="21082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IT/TXT/?uri=CELEX:32001L0083" TargetMode="External"/><Relationship Id="rId2" Type="http://schemas.openxmlformats.org/officeDocument/2006/relationships/hyperlink" Target="https://www.normattiva.it/uri-res/N2Ls?urn:nir:stato:legge:1966-07-13;559~art1" TargetMode="External"/><Relationship Id="rId1" Type="http://schemas.openxmlformats.org/officeDocument/2006/relationships/hyperlink" Target="http://eur-lex.europa.eu/legal-content/IT/TXT/?uri=CELEX:32001L008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E3205-8628-4966-89B2-5E7EAEA6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2055</Words>
  <Characters>11715</Characters>
  <Application>Microsoft Office Word</Application>
  <DocSecurity>4</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Ibba Natalia</dc:creator>
  <cp:keywords/>
  <dc:description/>
  <cp:lastModifiedBy>Di Chiara Barbara</cp:lastModifiedBy>
  <cp:revision>2</cp:revision>
  <cp:lastPrinted>2023-11-07T11:24:00Z</cp:lastPrinted>
  <dcterms:created xsi:type="dcterms:W3CDTF">2024-09-25T15:14:00Z</dcterms:created>
  <dcterms:modified xsi:type="dcterms:W3CDTF">2024-09-25T15:14:00Z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5775f-ddf1-4a0d-93eb-eb1e96abcbb1_Enabled">
    <vt:lpwstr>true</vt:lpwstr>
  </property>
  <property fmtid="{D5CDD505-2E9C-101B-9397-08002B2CF9AE}" pid="3" name="MSIP_Label_f155775f-ddf1-4a0d-93eb-eb1e96abcbb1_SetDate">
    <vt:lpwstr>2024-09-25T15:14:12Z</vt:lpwstr>
  </property>
  <property fmtid="{D5CDD505-2E9C-101B-9397-08002B2CF9AE}" pid="4" name="MSIP_Label_f155775f-ddf1-4a0d-93eb-eb1e96abcbb1_Method">
    <vt:lpwstr>Standard</vt:lpwstr>
  </property>
  <property fmtid="{D5CDD505-2E9C-101B-9397-08002B2CF9AE}" pid="5" name="MSIP_Label_f155775f-ddf1-4a0d-93eb-eb1e96abcbb1_Name">
    <vt:lpwstr>Public</vt:lpwstr>
  </property>
  <property fmtid="{D5CDD505-2E9C-101B-9397-08002B2CF9AE}" pid="6" name="MSIP_Label_f155775f-ddf1-4a0d-93eb-eb1e96abcbb1_SiteId">
    <vt:lpwstr>a7951234-1d7a-4bf7-9625-60faed175df2</vt:lpwstr>
  </property>
  <property fmtid="{D5CDD505-2E9C-101B-9397-08002B2CF9AE}" pid="7" name="MSIP_Label_f155775f-ddf1-4a0d-93eb-eb1e96abcbb1_ActionId">
    <vt:lpwstr>4602cd5b-7ec7-47ee-b87e-421946f9e5cb</vt:lpwstr>
  </property>
  <property fmtid="{D5CDD505-2E9C-101B-9397-08002B2CF9AE}" pid="8" name="MSIP_Label_f155775f-ddf1-4a0d-93eb-eb1e96abcbb1_ContentBits">
    <vt:lpwstr>0</vt:lpwstr>
  </property>
</Properties>
</file>