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B37BF" w14:textId="4D9E05DF" w:rsidR="00667FFE" w:rsidRDefault="008A1AD0" w:rsidP="00763B51">
      <w:pPr>
        <w:autoSpaceDE w:val="0"/>
        <w:autoSpaceDN w:val="0"/>
        <w:adjustRightInd w:val="0"/>
        <w:spacing w:after="120"/>
        <w:ind w:left="-426"/>
        <w:rPr>
          <w:rFonts w:ascii="Arial Narrow" w:hAnsi="Arial Narrow" w:cs="Arial"/>
          <w:bCs/>
          <w:color w:val="000000"/>
          <w:sz w:val="26"/>
          <w:szCs w:val="26"/>
        </w:rPr>
      </w:pPr>
      <w:r>
        <w:rPr>
          <w:rFonts w:ascii="Arial Narrow" w:hAnsi="Arial Narrow" w:cs="Arial"/>
          <w:bCs/>
          <w:color w:val="000000"/>
          <w:sz w:val="26"/>
          <w:szCs w:val="26"/>
        </w:rPr>
        <w:tab/>
      </w:r>
    </w:p>
    <w:p w14:paraId="6A528BD7" w14:textId="50E5413C" w:rsidR="00952F4A" w:rsidRDefault="00952F4A" w:rsidP="00952F4A">
      <w:pPr>
        <w:spacing w:after="120"/>
        <w:rPr>
          <w:rFonts w:ascii="Arial Narrow" w:hAnsi="Arial Narrow" w:cs="Arial"/>
          <w:b/>
          <w:bCs/>
          <w:color w:val="E42618"/>
          <w:sz w:val="28"/>
          <w:szCs w:val="28"/>
        </w:rPr>
      </w:pPr>
      <w:r>
        <w:rPr>
          <w:rFonts w:ascii="Arial Narrow" w:hAnsi="Arial Narrow" w:cs="Arial"/>
          <w:b/>
          <w:bCs/>
          <w:color w:val="E42618"/>
          <w:sz w:val="28"/>
          <w:szCs w:val="28"/>
        </w:rPr>
        <w:t xml:space="preserve">LA SPESA DEI COMUNI PER I SERVIZI SOCIALI </w:t>
      </w:r>
      <w:r w:rsidRPr="00EB1D63">
        <w:rPr>
          <w:rFonts w:ascii="Arial Narrow" w:hAnsi="Arial Narrow" w:cs="Arial"/>
          <w:b/>
          <w:bCs/>
          <w:color w:val="1F497D" w:themeColor="text2"/>
          <w:sz w:val="28"/>
          <w:szCs w:val="28"/>
        </w:rPr>
        <w:t>|</w:t>
      </w:r>
      <w:r w:rsidRPr="00EB1D63">
        <w:rPr>
          <w:rFonts w:ascii="Arial Narrow" w:hAnsi="Arial Narrow" w:cs="Arial"/>
          <w:b/>
          <w:bCs/>
          <w:color w:val="E42618"/>
          <w:sz w:val="28"/>
          <w:szCs w:val="28"/>
        </w:rPr>
        <w:t xml:space="preserve"> ANNO 20</w:t>
      </w:r>
      <w:r>
        <w:rPr>
          <w:rFonts w:ascii="Arial Narrow" w:hAnsi="Arial Narrow" w:cs="Arial"/>
          <w:b/>
          <w:bCs/>
          <w:color w:val="E42618"/>
          <w:sz w:val="28"/>
          <w:szCs w:val="28"/>
        </w:rPr>
        <w:t>2</w:t>
      </w:r>
      <w:r w:rsidR="00286F2C">
        <w:rPr>
          <w:rFonts w:ascii="Arial Narrow" w:hAnsi="Arial Narrow" w:cs="Arial"/>
          <w:b/>
          <w:bCs/>
          <w:color w:val="E42618"/>
          <w:sz w:val="28"/>
          <w:szCs w:val="28"/>
        </w:rPr>
        <w:t>1</w:t>
      </w:r>
    </w:p>
    <w:p w14:paraId="7763F9A1" w14:textId="77777777" w:rsidR="00AD3692" w:rsidRDefault="00AD3692" w:rsidP="00AD3692">
      <w:pPr>
        <w:autoSpaceDE w:val="0"/>
        <w:autoSpaceDN w:val="0"/>
        <w:adjustRightInd w:val="0"/>
        <w:spacing w:after="120"/>
        <w:jc w:val="both"/>
        <w:rPr>
          <w:rFonts w:ascii="Georgia" w:hAnsi="Georgia" w:cs="Arial"/>
          <w:bCs/>
          <w:color w:val="1F497D" w:themeColor="text2"/>
          <w:spacing w:val="-16"/>
          <w:sz w:val="50"/>
          <w:szCs w:val="50"/>
        </w:rPr>
      </w:pPr>
      <w:r>
        <w:rPr>
          <w:rFonts w:ascii="Georgia" w:hAnsi="Georgia" w:cs="Arial"/>
          <w:bCs/>
          <w:color w:val="1F497D" w:themeColor="text2"/>
          <w:spacing w:val="-16"/>
          <w:sz w:val="50"/>
          <w:szCs w:val="50"/>
        </w:rPr>
        <w:t xml:space="preserve">Welfare territoriale: la spesa cresce di più al Sud </w:t>
      </w:r>
    </w:p>
    <w:p w14:paraId="516C9AB6" w14:textId="77777777" w:rsidR="00AD3692" w:rsidRDefault="00AD3692" w:rsidP="00AD3692">
      <w:pPr>
        <w:autoSpaceDE w:val="0"/>
        <w:autoSpaceDN w:val="0"/>
        <w:adjustRightInd w:val="0"/>
        <w:spacing w:after="120"/>
        <w:jc w:val="both"/>
        <w:rPr>
          <w:rFonts w:ascii="Georgia" w:hAnsi="Georgia" w:cs="Arial"/>
          <w:bCs/>
          <w:color w:val="1F497D" w:themeColor="text2"/>
          <w:spacing w:val="-16"/>
          <w:sz w:val="50"/>
          <w:szCs w:val="50"/>
        </w:rPr>
      </w:pPr>
      <w:r>
        <w:rPr>
          <w:rFonts w:ascii="Georgia" w:hAnsi="Georgia" w:cs="Arial"/>
          <w:bCs/>
          <w:color w:val="1F497D" w:themeColor="text2"/>
          <w:spacing w:val="-16"/>
          <w:sz w:val="50"/>
          <w:szCs w:val="50"/>
        </w:rPr>
        <w:t>Il Nord-Est ha più risorse della media nazionale</w:t>
      </w:r>
    </w:p>
    <w:p w14:paraId="6D2A19F8" w14:textId="77777777" w:rsidR="00740073" w:rsidRPr="00952F4A" w:rsidRDefault="004A7C23" w:rsidP="003F0820">
      <w:pPr>
        <w:autoSpaceDE w:val="0"/>
        <w:autoSpaceDN w:val="0"/>
        <w:adjustRightInd w:val="0"/>
        <w:spacing w:after="120"/>
        <w:jc w:val="both"/>
        <w:rPr>
          <w:rFonts w:ascii="Georgia" w:hAnsi="Georgia" w:cs="Arial"/>
          <w:b/>
          <w:bCs/>
          <w:iCs/>
          <w:color w:val="1F497D" w:themeColor="text2"/>
          <w:sz w:val="36"/>
          <w:szCs w:val="36"/>
        </w:rPr>
      </w:pPr>
      <w:r>
        <w:rPr>
          <w:rFonts w:ascii="Georgia" w:hAnsi="Georgia" w:cs="Arial"/>
          <w:bCs/>
          <w:noProof/>
          <w:color w:val="1F497D" w:themeColor="text2"/>
          <w:sz w:val="18"/>
          <w:szCs w:val="28"/>
        </w:rPr>
        <mc:AlternateContent>
          <mc:Choice Requires="wps">
            <w:drawing>
              <wp:anchor distT="0" distB="0" distL="114300" distR="114300" simplePos="0" relativeHeight="251683840" behindDoc="0" locked="0" layoutInCell="1" allowOverlap="1" wp14:anchorId="5391815D" wp14:editId="4FB57633">
                <wp:simplePos x="0" y="0"/>
                <wp:positionH relativeFrom="column">
                  <wp:posOffset>-528955</wp:posOffset>
                </wp:positionH>
                <wp:positionV relativeFrom="paragraph">
                  <wp:posOffset>256997</wp:posOffset>
                </wp:positionV>
                <wp:extent cx="438150" cy="381000"/>
                <wp:effectExtent l="0" t="19050" r="38100" b="38100"/>
                <wp:wrapNone/>
                <wp:docPr id="21" name="Freccia a destra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381000"/>
                        </a:xfrm>
                        <a:prstGeom prst="rightArrow">
                          <a:avLst/>
                        </a:prstGeom>
                        <a:solidFill>
                          <a:srgbClr val="E42618"/>
                        </a:solidFill>
                        <a:ln>
                          <a:solidFill>
                            <a:srgbClr val="E4261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6B3FD31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reccia a destra 21" o:spid="_x0000_s1026" type="#_x0000_t13" style="position:absolute;margin-left:-41.65pt;margin-top:20.25pt;width:34.5pt;height:3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" adj="12209" fillcolor="#e42618" strokecolor="#e42618" strokeweight="2pt">
                <v:path arrowok="t"/>
              </v:shape>
            </w:pict>
          </mc:Fallback>
        </mc:AlternateContent>
      </w:r>
    </w:p>
    <w:p w14:paraId="70D3B92D" w14:textId="6AAFB8EE" w:rsidR="00D62B97" w:rsidRPr="00F57715" w:rsidRDefault="00303F77" w:rsidP="00F57715">
      <w:pPr>
        <w:pStyle w:val="Default"/>
        <w:tabs>
          <w:tab w:val="left" w:pos="567"/>
        </w:tabs>
        <w:spacing w:after="120" w:line="360" w:lineRule="exact"/>
        <w:ind w:left="142"/>
        <w:jc w:val="both"/>
        <w:rPr>
          <w:rFonts w:ascii="Georgia" w:hAnsi="Georgia" w:cs="Arial"/>
          <w:bCs/>
          <w:color w:val="1F497D" w:themeColor="text2"/>
          <w:sz w:val="28"/>
          <w:szCs w:val="28"/>
        </w:rPr>
      </w:pPr>
      <w:r>
        <w:rPr>
          <w:rFonts w:ascii="Georgia" w:hAnsi="Georgia" w:cs="Arial"/>
          <w:bCs/>
          <w:color w:val="1F497D" w:themeColor="text2"/>
          <w:sz w:val="28"/>
          <w:szCs w:val="28"/>
        </w:rPr>
        <w:t>Nel 2021</w:t>
      </w:r>
      <w:r w:rsidR="00E82EF5" w:rsidRPr="00CB44BA">
        <w:rPr>
          <w:rFonts w:ascii="Georgia" w:hAnsi="Georgia" w:cs="Arial"/>
          <w:bCs/>
          <w:color w:val="1F497D" w:themeColor="text2"/>
          <w:sz w:val="28"/>
          <w:szCs w:val="28"/>
        </w:rPr>
        <w:t xml:space="preserve"> la spesa dei Comuni</w:t>
      </w:r>
      <w:r w:rsidR="00835907" w:rsidRPr="00CB44BA">
        <w:rPr>
          <w:rFonts w:ascii="Georgia" w:hAnsi="Georgia" w:cs="Arial"/>
          <w:bCs/>
          <w:color w:val="1F497D" w:themeColor="text2"/>
          <w:sz w:val="28"/>
          <w:szCs w:val="28"/>
        </w:rPr>
        <w:t xml:space="preserve"> per i servizi sociali e socio-educativi è stata di 10,3 miliardi di euro, di cui 1,2 miliardi rimborsati dal Servizio Sanitario Nazionale</w:t>
      </w:r>
      <w:r>
        <w:rPr>
          <w:rFonts w:ascii="Georgia" w:hAnsi="Georgia" w:cs="Arial"/>
          <w:bCs/>
          <w:color w:val="1F497D" w:themeColor="text2"/>
          <w:sz w:val="28"/>
          <w:szCs w:val="28"/>
        </w:rPr>
        <w:t xml:space="preserve"> (SSN)</w:t>
      </w:r>
      <w:r w:rsidR="00835907" w:rsidRPr="00CB44BA">
        <w:rPr>
          <w:rFonts w:ascii="Georgia" w:hAnsi="Georgia" w:cs="Arial"/>
          <w:bCs/>
          <w:color w:val="1F497D" w:themeColor="text2"/>
          <w:sz w:val="28"/>
          <w:szCs w:val="28"/>
        </w:rPr>
        <w:t xml:space="preserve"> e 745 milioni </w:t>
      </w:r>
      <w:r w:rsidR="00733020" w:rsidRPr="003F0820">
        <w:rPr>
          <w:rFonts w:ascii="Georgia" w:hAnsi="Georgia" w:cs="Arial"/>
          <w:bCs/>
          <w:color w:val="1F497D" w:themeColor="text2"/>
          <w:sz w:val="28"/>
          <w:szCs w:val="28"/>
        </w:rPr>
        <w:t>dall</w:t>
      </w:r>
      <w:r w:rsidR="00CB44BA">
        <w:rPr>
          <w:rFonts w:ascii="Georgia" w:hAnsi="Georgia" w:cs="Arial"/>
          <w:bCs/>
          <w:color w:val="1F497D" w:themeColor="text2"/>
          <w:sz w:val="28"/>
          <w:szCs w:val="28"/>
        </w:rPr>
        <w:t>a</w:t>
      </w:r>
      <w:r w:rsidR="00733020" w:rsidRPr="003F0820">
        <w:rPr>
          <w:rFonts w:ascii="Georgia" w:hAnsi="Georgia" w:cs="Arial"/>
          <w:bCs/>
          <w:color w:val="1F497D" w:themeColor="text2"/>
          <w:sz w:val="28"/>
          <w:szCs w:val="28"/>
        </w:rPr>
        <w:t xml:space="preserve"> </w:t>
      </w:r>
      <w:r w:rsidR="00CB44BA">
        <w:rPr>
          <w:rFonts w:ascii="Georgia" w:hAnsi="Georgia" w:cs="Arial"/>
          <w:bCs/>
          <w:color w:val="1F497D" w:themeColor="text2"/>
          <w:sz w:val="28"/>
          <w:szCs w:val="28"/>
        </w:rPr>
        <w:t>contribuzione</w:t>
      </w:r>
      <w:r w:rsidR="003F0820">
        <w:rPr>
          <w:rFonts w:ascii="Georgia" w:hAnsi="Georgia" w:cs="Arial"/>
          <w:bCs/>
          <w:color w:val="1F497D" w:themeColor="text2"/>
          <w:sz w:val="28"/>
          <w:szCs w:val="28"/>
        </w:rPr>
        <w:t xml:space="preserve"> a carico</w:t>
      </w:r>
      <w:r w:rsidR="00733020" w:rsidRPr="003F0820">
        <w:rPr>
          <w:rFonts w:ascii="Georgia" w:hAnsi="Georgia" w:cs="Arial"/>
          <w:bCs/>
          <w:color w:val="1F497D" w:themeColor="text2"/>
          <w:sz w:val="28"/>
          <w:szCs w:val="28"/>
        </w:rPr>
        <w:t xml:space="preserve"> degli utenti</w:t>
      </w:r>
      <w:r w:rsidR="00835907" w:rsidRPr="00CB44BA">
        <w:rPr>
          <w:rFonts w:ascii="Georgia" w:hAnsi="Georgia" w:cs="Arial"/>
          <w:bCs/>
          <w:color w:val="1F497D" w:themeColor="text2"/>
          <w:sz w:val="28"/>
          <w:szCs w:val="28"/>
        </w:rPr>
        <w:t>.</w:t>
      </w:r>
      <w:r w:rsidR="00E82EF5" w:rsidRPr="00F57715">
        <w:rPr>
          <w:rFonts w:ascii="Georgia" w:hAnsi="Georgia" w:cs="Arial"/>
          <w:bCs/>
          <w:color w:val="1F497D" w:themeColor="text2"/>
          <w:sz w:val="28"/>
          <w:szCs w:val="28"/>
        </w:rPr>
        <w:t xml:space="preserve"> </w:t>
      </w:r>
      <w:r w:rsidR="005760CF">
        <w:rPr>
          <w:rFonts w:ascii="Georgia" w:hAnsi="Georgia" w:cs="Arial"/>
          <w:bCs/>
          <w:color w:val="1F497D" w:themeColor="text2"/>
          <w:sz w:val="28"/>
          <w:szCs w:val="28"/>
        </w:rPr>
        <w:t>La spesa a</w:t>
      </w:r>
      <w:r w:rsidR="00E82EF5" w:rsidRPr="00F57715">
        <w:rPr>
          <w:rFonts w:ascii="Georgia" w:hAnsi="Georgia" w:cs="Arial"/>
          <w:bCs/>
          <w:color w:val="1F497D" w:themeColor="text2"/>
          <w:sz w:val="28"/>
          <w:szCs w:val="28"/>
        </w:rPr>
        <w:t xml:space="preserve">l netto delle </w:t>
      </w:r>
      <w:r w:rsidR="00835907" w:rsidRPr="00F57715">
        <w:rPr>
          <w:rFonts w:ascii="Georgia" w:hAnsi="Georgia" w:cs="Arial"/>
          <w:bCs/>
          <w:color w:val="1F497D" w:themeColor="text2"/>
          <w:sz w:val="28"/>
          <w:szCs w:val="28"/>
        </w:rPr>
        <w:t>compartecipazioni</w:t>
      </w:r>
      <w:r w:rsidR="00F57715">
        <w:rPr>
          <w:rFonts w:ascii="Georgia" w:hAnsi="Georgia" w:cs="Arial"/>
          <w:bCs/>
          <w:color w:val="1F497D" w:themeColor="text2"/>
          <w:sz w:val="28"/>
          <w:szCs w:val="28"/>
        </w:rPr>
        <w:t xml:space="preserve"> (</w:t>
      </w:r>
      <w:r w:rsidR="00D62B97" w:rsidRPr="00F57715">
        <w:rPr>
          <w:rFonts w:ascii="Georgia" w:hAnsi="Georgia" w:cs="Arial"/>
          <w:bCs/>
          <w:color w:val="1F497D" w:themeColor="text2"/>
          <w:sz w:val="28"/>
          <w:szCs w:val="28"/>
        </w:rPr>
        <w:t xml:space="preserve">8,4 </w:t>
      </w:r>
      <w:r w:rsidR="00F57715">
        <w:rPr>
          <w:rFonts w:ascii="Georgia" w:hAnsi="Georgia" w:cs="Arial"/>
          <w:bCs/>
          <w:color w:val="1F497D" w:themeColor="text2"/>
          <w:sz w:val="28"/>
          <w:szCs w:val="28"/>
        </w:rPr>
        <w:t>miliardi) è aumentata</w:t>
      </w:r>
      <w:r w:rsidR="00E82EF5" w:rsidRPr="00F57715">
        <w:rPr>
          <w:rFonts w:ascii="Georgia" w:hAnsi="Georgia" w:cs="Arial"/>
          <w:bCs/>
          <w:color w:val="1F497D" w:themeColor="text2"/>
          <w:sz w:val="28"/>
          <w:szCs w:val="28"/>
        </w:rPr>
        <w:t xml:space="preserve"> del 6,7% rispetto al 2020. </w:t>
      </w:r>
    </w:p>
    <w:p w14:paraId="095DBF01" w14:textId="621BFF33" w:rsidR="00C00F4D" w:rsidRDefault="009C067F" w:rsidP="00F57715">
      <w:pPr>
        <w:pStyle w:val="Default"/>
        <w:tabs>
          <w:tab w:val="left" w:pos="567"/>
        </w:tabs>
        <w:spacing w:after="120" w:line="360" w:lineRule="exact"/>
        <w:ind w:left="142"/>
        <w:jc w:val="both"/>
        <w:rPr>
          <w:rFonts w:ascii="Georgia" w:hAnsi="Georgia" w:cs="Arial"/>
          <w:bCs/>
          <w:color w:val="1F497D" w:themeColor="text2"/>
          <w:sz w:val="28"/>
          <w:szCs w:val="28"/>
        </w:rPr>
      </w:pPr>
      <w:r>
        <w:rPr>
          <w:rFonts w:ascii="Georgia" w:hAnsi="Georgia" w:cs="Arial"/>
          <w:bCs/>
          <w:color w:val="1F497D" w:themeColor="text2"/>
          <w:sz w:val="28"/>
          <w:szCs w:val="28"/>
        </w:rPr>
        <w:t>Maggiori g</w:t>
      </w:r>
      <w:r w:rsidR="00E82EF5" w:rsidRPr="00F57715">
        <w:rPr>
          <w:rFonts w:ascii="Georgia" w:hAnsi="Georgia" w:cs="Arial"/>
          <w:bCs/>
          <w:color w:val="1F497D" w:themeColor="text2"/>
          <w:sz w:val="28"/>
          <w:szCs w:val="28"/>
        </w:rPr>
        <w:t xml:space="preserve">li incrementi di spesa </w:t>
      </w:r>
      <w:r w:rsidR="00474396">
        <w:rPr>
          <w:rFonts w:ascii="Georgia" w:hAnsi="Georgia" w:cs="Arial"/>
          <w:bCs/>
          <w:color w:val="1F497D" w:themeColor="text2"/>
          <w:sz w:val="28"/>
          <w:szCs w:val="28"/>
        </w:rPr>
        <w:t>al Sud</w:t>
      </w:r>
      <w:r w:rsidR="00E82EF5" w:rsidRPr="00F57715">
        <w:rPr>
          <w:rFonts w:ascii="Georgia" w:hAnsi="Georgia" w:cs="Arial"/>
          <w:bCs/>
          <w:color w:val="1F497D" w:themeColor="text2"/>
          <w:sz w:val="28"/>
          <w:szCs w:val="28"/>
        </w:rPr>
        <w:t xml:space="preserve"> (8,1%</w:t>
      </w:r>
      <w:r w:rsidR="00474396">
        <w:rPr>
          <w:rFonts w:ascii="Georgia" w:hAnsi="Georgia" w:cs="Arial"/>
          <w:bCs/>
          <w:color w:val="1F497D" w:themeColor="text2"/>
          <w:sz w:val="28"/>
          <w:szCs w:val="28"/>
        </w:rPr>
        <w:t xml:space="preserve"> in </w:t>
      </w:r>
      <w:r w:rsidR="00474396" w:rsidRPr="00C34D9E">
        <w:rPr>
          <w:rFonts w:ascii="Georgia" w:hAnsi="Georgia" w:cs="Arial"/>
          <w:bCs/>
          <w:color w:val="1F497D" w:themeColor="text2"/>
          <w:sz w:val="28"/>
          <w:szCs w:val="28"/>
        </w:rPr>
        <w:t>valuta corrente</w:t>
      </w:r>
      <w:r w:rsidR="0078101D">
        <w:rPr>
          <w:rFonts w:ascii="Georgia" w:hAnsi="Georgia" w:cs="Arial"/>
          <w:bCs/>
          <w:color w:val="1F497D" w:themeColor="text2"/>
          <w:sz w:val="28"/>
          <w:szCs w:val="28"/>
        </w:rPr>
        <w:t>;</w:t>
      </w:r>
      <w:r w:rsidR="00474396" w:rsidRPr="00C34D9E">
        <w:rPr>
          <w:rFonts w:ascii="Georgia" w:hAnsi="Georgia" w:cs="Arial"/>
          <w:bCs/>
          <w:color w:val="1F497D" w:themeColor="text2"/>
          <w:sz w:val="28"/>
          <w:szCs w:val="28"/>
        </w:rPr>
        <w:t xml:space="preserve"> 6,1% in termini reali</w:t>
      </w:r>
      <w:r w:rsidR="00E82EF5" w:rsidRPr="00F57715">
        <w:rPr>
          <w:rFonts w:ascii="Georgia" w:hAnsi="Georgia" w:cs="Arial"/>
          <w:bCs/>
          <w:color w:val="1F497D" w:themeColor="text2"/>
          <w:sz w:val="28"/>
          <w:szCs w:val="28"/>
        </w:rPr>
        <w:t>)</w:t>
      </w:r>
      <w:r w:rsidR="00F57715">
        <w:rPr>
          <w:rFonts w:ascii="Georgia" w:hAnsi="Georgia" w:cs="Arial"/>
          <w:bCs/>
          <w:color w:val="1F497D" w:themeColor="text2"/>
          <w:sz w:val="28"/>
          <w:szCs w:val="28"/>
        </w:rPr>
        <w:t>,</w:t>
      </w:r>
      <w:r w:rsidR="00F02B04" w:rsidRPr="00F57715">
        <w:rPr>
          <w:rFonts w:ascii="Georgia" w:hAnsi="Georgia" w:cs="Arial"/>
          <w:bCs/>
          <w:color w:val="1F497D" w:themeColor="text2"/>
          <w:sz w:val="28"/>
          <w:szCs w:val="28"/>
        </w:rPr>
        <w:t xml:space="preserve"> </w:t>
      </w:r>
      <w:r w:rsidR="00F57715">
        <w:rPr>
          <w:rFonts w:ascii="Georgia" w:hAnsi="Georgia" w:cs="Arial"/>
          <w:bCs/>
          <w:color w:val="1F497D" w:themeColor="text2"/>
          <w:sz w:val="28"/>
          <w:szCs w:val="28"/>
        </w:rPr>
        <w:t>soprattutto</w:t>
      </w:r>
      <w:r w:rsidR="00F02B04" w:rsidRPr="00F57715">
        <w:rPr>
          <w:rFonts w:ascii="Georgia" w:hAnsi="Georgia" w:cs="Arial"/>
          <w:bCs/>
          <w:color w:val="1F497D" w:themeColor="text2"/>
          <w:sz w:val="28"/>
          <w:szCs w:val="28"/>
        </w:rPr>
        <w:t xml:space="preserve"> in Calabria (27,6%), in Puglia (18,5%) e in Basilicata (17,2%)</w:t>
      </w:r>
      <w:r w:rsidR="00C00F4D">
        <w:rPr>
          <w:rFonts w:ascii="Georgia" w:hAnsi="Georgia" w:cs="Arial"/>
          <w:bCs/>
          <w:color w:val="1F497D" w:themeColor="text2"/>
          <w:sz w:val="28"/>
          <w:szCs w:val="28"/>
        </w:rPr>
        <w:t>.</w:t>
      </w:r>
    </w:p>
    <w:p w14:paraId="5D625CB8" w14:textId="563195CD" w:rsidR="00D62B97" w:rsidRPr="00F57715" w:rsidRDefault="00C00F4D" w:rsidP="00F57715">
      <w:pPr>
        <w:pStyle w:val="Default"/>
        <w:tabs>
          <w:tab w:val="left" w:pos="567"/>
        </w:tabs>
        <w:spacing w:after="120" w:line="360" w:lineRule="exact"/>
        <w:ind w:left="142"/>
        <w:jc w:val="both"/>
        <w:rPr>
          <w:rFonts w:ascii="Georgia" w:hAnsi="Georgia" w:cs="Arial"/>
          <w:bCs/>
          <w:color w:val="1F497D" w:themeColor="text2"/>
          <w:sz w:val="28"/>
          <w:szCs w:val="28"/>
        </w:rPr>
      </w:pPr>
      <w:r>
        <w:rPr>
          <w:rFonts w:ascii="Georgia" w:hAnsi="Georgia" w:cs="Arial"/>
          <w:bCs/>
          <w:color w:val="1F497D" w:themeColor="text2"/>
          <w:sz w:val="28"/>
          <w:szCs w:val="28"/>
        </w:rPr>
        <w:t>I</w:t>
      </w:r>
      <w:r w:rsidR="00F02B04" w:rsidRPr="00F57715">
        <w:rPr>
          <w:rFonts w:ascii="Georgia" w:hAnsi="Georgia" w:cs="Arial"/>
          <w:bCs/>
          <w:color w:val="1F497D" w:themeColor="text2"/>
          <w:sz w:val="28"/>
          <w:szCs w:val="28"/>
        </w:rPr>
        <w:t xml:space="preserve">l divario </w:t>
      </w:r>
      <w:r w:rsidR="00E82EF5" w:rsidRPr="00F57715">
        <w:rPr>
          <w:rFonts w:ascii="Georgia" w:hAnsi="Georgia" w:cs="Arial"/>
          <w:bCs/>
          <w:color w:val="1F497D" w:themeColor="text2"/>
          <w:sz w:val="28"/>
          <w:szCs w:val="28"/>
        </w:rPr>
        <w:t xml:space="preserve">rispetto alle altre aree del Paese resta </w:t>
      </w:r>
      <w:r w:rsidR="00EC57A2">
        <w:rPr>
          <w:rFonts w:ascii="Georgia" w:hAnsi="Georgia" w:cs="Arial"/>
          <w:bCs/>
          <w:color w:val="1F497D" w:themeColor="text2"/>
          <w:sz w:val="28"/>
          <w:szCs w:val="28"/>
        </w:rPr>
        <w:t xml:space="preserve">però </w:t>
      </w:r>
      <w:r w:rsidR="00E82EF5" w:rsidRPr="00F57715">
        <w:rPr>
          <w:rFonts w:ascii="Georgia" w:hAnsi="Georgia" w:cs="Arial"/>
          <w:bCs/>
          <w:color w:val="1F497D" w:themeColor="text2"/>
          <w:sz w:val="28"/>
          <w:szCs w:val="28"/>
        </w:rPr>
        <w:t>molto ampi</w:t>
      </w:r>
      <w:r w:rsidR="00EC57A2">
        <w:rPr>
          <w:rFonts w:ascii="Georgia" w:hAnsi="Georgia" w:cs="Arial"/>
          <w:bCs/>
          <w:color w:val="1F497D" w:themeColor="text2"/>
          <w:sz w:val="28"/>
          <w:szCs w:val="28"/>
        </w:rPr>
        <w:t>o</w:t>
      </w:r>
      <w:r w:rsidR="00E82EF5" w:rsidRPr="00F57715">
        <w:rPr>
          <w:rFonts w:ascii="Georgia" w:hAnsi="Georgia" w:cs="Arial"/>
          <w:bCs/>
          <w:color w:val="1F497D" w:themeColor="text2"/>
          <w:sz w:val="28"/>
          <w:szCs w:val="28"/>
        </w:rPr>
        <w:t xml:space="preserve">. </w:t>
      </w:r>
      <w:r w:rsidR="00A5337C" w:rsidRPr="00F57715">
        <w:rPr>
          <w:rFonts w:ascii="Georgia" w:hAnsi="Georgia" w:cs="Arial"/>
          <w:bCs/>
          <w:color w:val="1F497D" w:themeColor="text2"/>
          <w:sz w:val="28"/>
          <w:szCs w:val="28"/>
        </w:rPr>
        <w:t xml:space="preserve">Al Nord-est </w:t>
      </w:r>
      <w:r w:rsidR="00F57715">
        <w:rPr>
          <w:rFonts w:ascii="Georgia" w:hAnsi="Georgia" w:cs="Arial"/>
          <w:bCs/>
          <w:color w:val="1F497D" w:themeColor="text2"/>
          <w:sz w:val="28"/>
          <w:szCs w:val="28"/>
        </w:rPr>
        <w:t>le</w:t>
      </w:r>
      <w:r w:rsidR="00F02B04" w:rsidRPr="00F57715">
        <w:rPr>
          <w:rFonts w:ascii="Georgia" w:hAnsi="Georgia" w:cs="Arial"/>
          <w:bCs/>
          <w:color w:val="1F497D" w:themeColor="text2"/>
          <w:sz w:val="28"/>
          <w:szCs w:val="28"/>
        </w:rPr>
        <w:t xml:space="preserve"> </w:t>
      </w:r>
      <w:r w:rsidR="00F57715">
        <w:rPr>
          <w:rFonts w:ascii="Georgia" w:hAnsi="Georgia" w:cs="Arial"/>
          <w:bCs/>
          <w:color w:val="1F497D" w:themeColor="text2"/>
          <w:sz w:val="28"/>
          <w:szCs w:val="28"/>
        </w:rPr>
        <w:t xml:space="preserve">risorse </w:t>
      </w:r>
      <w:r w:rsidR="00F02B04" w:rsidRPr="00F57715">
        <w:rPr>
          <w:rFonts w:ascii="Georgia" w:hAnsi="Georgia" w:cs="Arial"/>
          <w:bCs/>
          <w:color w:val="1F497D" w:themeColor="text2"/>
          <w:sz w:val="28"/>
          <w:szCs w:val="28"/>
        </w:rPr>
        <w:t xml:space="preserve">per il </w:t>
      </w:r>
      <w:r w:rsidR="00F02B04" w:rsidRPr="003F0820">
        <w:rPr>
          <w:rFonts w:ascii="Georgia" w:hAnsi="Georgia" w:cs="Arial"/>
          <w:bCs/>
          <w:i/>
          <w:iCs/>
          <w:color w:val="1F497D" w:themeColor="text2"/>
          <w:sz w:val="28"/>
          <w:szCs w:val="28"/>
        </w:rPr>
        <w:t>welfare</w:t>
      </w:r>
      <w:r w:rsidR="00F02B04" w:rsidRPr="00F57715">
        <w:rPr>
          <w:rFonts w:ascii="Georgia" w:hAnsi="Georgia" w:cs="Arial"/>
          <w:bCs/>
          <w:color w:val="1F497D" w:themeColor="text2"/>
          <w:sz w:val="28"/>
          <w:szCs w:val="28"/>
        </w:rPr>
        <w:t xml:space="preserve"> territoriale </w:t>
      </w:r>
      <w:r w:rsidR="00F57715">
        <w:rPr>
          <w:rFonts w:ascii="Georgia" w:hAnsi="Georgia" w:cs="Arial"/>
          <w:bCs/>
          <w:color w:val="1F497D" w:themeColor="text2"/>
          <w:sz w:val="28"/>
          <w:szCs w:val="28"/>
        </w:rPr>
        <w:t>(197 euro pro-capite) sono</w:t>
      </w:r>
      <w:r w:rsidR="004C5BBC" w:rsidRPr="00F57715">
        <w:rPr>
          <w:rFonts w:ascii="Georgia" w:hAnsi="Georgia" w:cs="Arial"/>
          <w:bCs/>
          <w:color w:val="1F497D" w:themeColor="text2"/>
          <w:sz w:val="28"/>
          <w:szCs w:val="28"/>
        </w:rPr>
        <w:t xml:space="preserve"> ben al di sopra della media nazionale (142 euro) e quasi tre volte superiori</w:t>
      </w:r>
      <w:r w:rsidR="00A5337C" w:rsidRPr="00F57715">
        <w:rPr>
          <w:rFonts w:ascii="Georgia" w:hAnsi="Georgia" w:cs="Arial"/>
          <w:bCs/>
          <w:color w:val="1F497D" w:themeColor="text2"/>
          <w:sz w:val="28"/>
          <w:szCs w:val="28"/>
        </w:rPr>
        <w:t xml:space="preserve"> rispetto al Sud (72 euro).</w:t>
      </w:r>
    </w:p>
    <w:p w14:paraId="3A63FE54" w14:textId="474CAC7E" w:rsidR="00E82EF5" w:rsidRDefault="0008561D" w:rsidP="009C067F">
      <w:pPr>
        <w:pStyle w:val="Default"/>
        <w:tabs>
          <w:tab w:val="left" w:pos="567"/>
        </w:tabs>
        <w:ind w:left="142"/>
        <w:jc w:val="both"/>
        <w:rPr>
          <w:rFonts w:ascii="Georgia" w:hAnsi="Georgia" w:cs="Arial"/>
          <w:bCs/>
          <w:color w:val="1F497D" w:themeColor="text2"/>
          <w:sz w:val="28"/>
          <w:szCs w:val="28"/>
        </w:rPr>
      </w:pPr>
      <w:r w:rsidRPr="00C34D9E">
        <w:rPr>
          <w:rFonts w:ascii="Georgia" w:hAnsi="Georgia" w:cs="Arial"/>
          <w:bCs/>
          <w:color w:val="1F497D" w:themeColor="text2"/>
          <w:sz w:val="28"/>
          <w:szCs w:val="28"/>
        </w:rPr>
        <w:t xml:space="preserve">Sono stati presi in carico dagli assistenti sociali oltre 2 milioni 185mila utenti, di cui la quota più ampia (31%) </w:t>
      </w:r>
      <w:r w:rsidR="00414697">
        <w:rPr>
          <w:rFonts w:ascii="Georgia" w:hAnsi="Georgia" w:cs="Arial"/>
          <w:bCs/>
          <w:color w:val="1F497D" w:themeColor="text2"/>
          <w:sz w:val="28"/>
          <w:szCs w:val="28"/>
        </w:rPr>
        <w:t>è composta da</w:t>
      </w:r>
      <w:r w:rsidRPr="00C34D9E">
        <w:rPr>
          <w:rFonts w:ascii="Georgia" w:hAnsi="Georgia" w:cs="Arial"/>
          <w:bCs/>
          <w:color w:val="1F497D" w:themeColor="text2"/>
          <w:sz w:val="28"/>
          <w:szCs w:val="28"/>
        </w:rPr>
        <w:t xml:space="preserve"> bambini e nuclei familiari con minori</w:t>
      </w:r>
      <w:r>
        <w:rPr>
          <w:rFonts w:ascii="Georgia" w:hAnsi="Georgia" w:cs="Arial"/>
          <w:bCs/>
          <w:color w:val="1F497D" w:themeColor="text2"/>
          <w:sz w:val="28"/>
          <w:szCs w:val="28"/>
        </w:rPr>
        <w:t>.</w:t>
      </w:r>
    </w:p>
    <w:p w14:paraId="1685904E" w14:textId="77777777" w:rsidR="00E95CBC" w:rsidRPr="00F57715" w:rsidRDefault="00E95CBC" w:rsidP="009C067F">
      <w:pPr>
        <w:pStyle w:val="Default"/>
        <w:tabs>
          <w:tab w:val="left" w:pos="567"/>
        </w:tabs>
        <w:ind w:left="142"/>
        <w:jc w:val="both"/>
        <w:rPr>
          <w:rFonts w:ascii="Georgia" w:hAnsi="Georgia" w:cs="Arial"/>
          <w:bCs/>
          <w:color w:val="1F497D" w:themeColor="text2"/>
          <w:sz w:val="28"/>
          <w:szCs w:val="28"/>
        </w:rPr>
      </w:pPr>
    </w:p>
    <w:tbl>
      <w:tblPr>
        <w:tblStyle w:val="Grigliatabella"/>
        <w:tblW w:w="11893" w:type="dxa"/>
        <w:tblInd w:w="-851" w:type="dxa"/>
        <w:tblBorders>
          <w:top w:val="none" w:sz="0" w:space="0" w:color="auto"/>
          <w:left w:val="none" w:sz="0" w:space="0" w:color="auto"/>
          <w:bottom w:val="none" w:sz="0" w:space="0" w:color="auto"/>
          <w:right w:val="single" w:sz="8" w:space="0" w:color="FFFFFF" w:themeColor="background1"/>
          <w:insideH w:val="none" w:sz="0" w:space="0" w:color="auto"/>
          <w:insideV w:val="single" w:sz="12" w:space="0" w:color="FFFFFF" w:themeColor="background1"/>
        </w:tblBorders>
        <w:tblLayout w:type="fixed"/>
        <w:tblCellMar>
          <w:left w:w="113" w:type="dxa"/>
          <w:right w:w="113" w:type="dxa"/>
        </w:tblCellMar>
        <w:tblLook w:val="04A0" w:firstRow="1" w:lastRow="0" w:firstColumn="1" w:lastColumn="0" w:noHBand="0" w:noVBand="1"/>
      </w:tblPr>
      <w:tblGrid>
        <w:gridCol w:w="3970"/>
        <w:gridCol w:w="3812"/>
        <w:gridCol w:w="4111"/>
      </w:tblGrid>
      <w:tr w:rsidR="00AD3B0D" w:rsidRPr="00AD3B0D" w14:paraId="7C6B569C" w14:textId="77777777" w:rsidTr="00C34D9E">
        <w:trPr>
          <w:trHeight w:val="126"/>
        </w:trPr>
        <w:tc>
          <w:tcPr>
            <w:tcW w:w="3970" w:type="dxa"/>
            <w:tcBorders>
              <w:left w:val="single" w:sz="12" w:space="0" w:color="FFFFFF" w:themeColor="background1"/>
              <w:bottom w:val="nil"/>
              <w:right w:val="single" w:sz="12" w:space="0" w:color="FFFFFF" w:themeColor="background1"/>
            </w:tcBorders>
            <w:shd w:val="clear" w:color="auto" w:fill="D9D9D9" w:themeFill="background1" w:themeFillShade="D9"/>
          </w:tcPr>
          <w:p w14:paraId="5A2920E3" w14:textId="0A457FF4" w:rsidR="00AD3B0D" w:rsidRPr="00C34D9E" w:rsidRDefault="00AD3B0D" w:rsidP="00AD3B0D">
            <w:pPr>
              <w:tabs>
                <w:tab w:val="left" w:pos="317"/>
                <w:tab w:val="left" w:pos="459"/>
                <w:tab w:val="left" w:pos="1204"/>
              </w:tabs>
              <w:autoSpaceDE w:val="0"/>
              <w:autoSpaceDN w:val="0"/>
              <w:adjustRightInd w:val="0"/>
              <w:ind w:left="459"/>
              <w:rPr>
                <w:rFonts w:ascii="Georgia" w:hAnsi="Georgia" w:cs="Arial"/>
                <w:b/>
                <w:bCs/>
                <w:color w:val="E42618"/>
                <w:sz w:val="26"/>
                <w:szCs w:val="26"/>
              </w:rPr>
            </w:pPr>
            <w:r w:rsidRPr="00C34D9E">
              <w:rPr>
                <w:rFonts w:ascii="Georgia" w:hAnsi="Georgia" w:cs="Arial"/>
                <w:bCs/>
                <w:color w:val="E42618"/>
                <w:sz w:val="88"/>
                <w:szCs w:val="88"/>
              </w:rPr>
              <w:t>+</w:t>
            </w:r>
            <w:r w:rsidR="006F56F2">
              <w:rPr>
                <w:rFonts w:ascii="Georgia" w:hAnsi="Georgia" w:cs="Arial"/>
                <w:bCs/>
                <w:color w:val="E42618"/>
                <w:sz w:val="88"/>
                <w:szCs w:val="88"/>
              </w:rPr>
              <w:t>4</w:t>
            </w:r>
            <w:r w:rsidR="00474396" w:rsidRPr="00C34D9E">
              <w:rPr>
                <w:rFonts w:ascii="Georgia" w:hAnsi="Georgia" w:cs="Arial"/>
                <w:bCs/>
                <w:color w:val="E42618"/>
                <w:sz w:val="88"/>
                <w:szCs w:val="88"/>
              </w:rPr>
              <w:t>,7</w:t>
            </w:r>
            <w:r w:rsidRPr="00C34D9E">
              <w:rPr>
                <w:rFonts w:ascii="Georgia" w:hAnsi="Georgia" w:cs="Arial"/>
                <w:bCs/>
                <w:color w:val="E42618"/>
                <w:sz w:val="88"/>
                <w:szCs w:val="88"/>
              </w:rPr>
              <w:t>%</w:t>
            </w:r>
          </w:p>
          <w:p w14:paraId="76DF960E" w14:textId="389AC9D4" w:rsidR="00AD3B0D" w:rsidRPr="00C34D9E" w:rsidRDefault="00AD3B0D" w:rsidP="00AD3B0D">
            <w:pPr>
              <w:tabs>
                <w:tab w:val="left" w:pos="459"/>
              </w:tabs>
              <w:autoSpaceDE w:val="0"/>
              <w:autoSpaceDN w:val="0"/>
              <w:adjustRightInd w:val="0"/>
              <w:ind w:left="459"/>
              <w:rPr>
                <w:rFonts w:ascii="Georgia" w:hAnsi="Georgia" w:cs="Arial"/>
                <w:b/>
                <w:bCs/>
                <w:color w:val="E42618"/>
                <w:sz w:val="26"/>
                <w:szCs w:val="26"/>
              </w:rPr>
            </w:pPr>
          </w:p>
          <w:p w14:paraId="7A8C7F02" w14:textId="620500DC" w:rsidR="00AD3B0D" w:rsidRDefault="00AD3B0D" w:rsidP="00AD3B0D">
            <w:pPr>
              <w:tabs>
                <w:tab w:val="left" w:pos="459"/>
              </w:tabs>
              <w:autoSpaceDE w:val="0"/>
              <w:autoSpaceDN w:val="0"/>
              <w:adjustRightInd w:val="0"/>
              <w:ind w:left="459"/>
              <w:rPr>
                <w:rFonts w:ascii="Georgia" w:hAnsi="Georgia" w:cs="Arial"/>
                <w:b/>
                <w:bCs/>
                <w:color w:val="E42618"/>
                <w:sz w:val="26"/>
                <w:szCs w:val="26"/>
              </w:rPr>
            </w:pPr>
            <w:r w:rsidRPr="00B109D6">
              <w:rPr>
                <w:rFonts w:ascii="Georgia" w:hAnsi="Georgia" w:cs="Arial"/>
                <w:b/>
                <w:bCs/>
                <w:color w:val="E42618"/>
                <w:sz w:val="26"/>
                <w:szCs w:val="26"/>
              </w:rPr>
              <w:t xml:space="preserve">L’incremento della </w:t>
            </w:r>
            <w:r w:rsidRPr="003F0820">
              <w:rPr>
                <w:rFonts w:ascii="Georgia" w:hAnsi="Georgia" w:cs="Arial"/>
                <w:b/>
                <w:bCs/>
                <w:color w:val="E42618"/>
                <w:sz w:val="26"/>
                <w:szCs w:val="26"/>
              </w:rPr>
              <w:t xml:space="preserve">spesa </w:t>
            </w:r>
            <w:r w:rsidR="00474396" w:rsidRPr="003F0820">
              <w:rPr>
                <w:rFonts w:ascii="Georgia" w:hAnsi="Georgia" w:cs="Arial"/>
                <w:b/>
                <w:bCs/>
                <w:color w:val="E42618"/>
                <w:sz w:val="26"/>
                <w:szCs w:val="26"/>
              </w:rPr>
              <w:t>sociale dei Comuni</w:t>
            </w:r>
            <w:r w:rsidR="00D42DCC" w:rsidRPr="003F0820">
              <w:rPr>
                <w:rFonts w:ascii="Georgia" w:hAnsi="Georgia" w:cs="Arial"/>
                <w:b/>
                <w:bCs/>
                <w:color w:val="E42618"/>
                <w:sz w:val="26"/>
                <w:szCs w:val="26"/>
              </w:rPr>
              <w:t xml:space="preserve"> </w:t>
            </w:r>
            <w:r w:rsidR="006F56F2" w:rsidRPr="003F0820">
              <w:rPr>
                <w:rFonts w:ascii="Georgia" w:hAnsi="Georgia" w:cs="Arial"/>
                <w:b/>
                <w:bCs/>
                <w:color w:val="E42618"/>
                <w:sz w:val="26"/>
                <w:szCs w:val="26"/>
              </w:rPr>
              <w:t xml:space="preserve">al netto dell’inflazione </w:t>
            </w:r>
            <w:r w:rsidRPr="003F0820">
              <w:rPr>
                <w:rFonts w:ascii="Georgia" w:hAnsi="Georgia" w:cs="Arial"/>
                <w:b/>
                <w:bCs/>
                <w:color w:val="E42618"/>
                <w:sz w:val="26"/>
                <w:szCs w:val="26"/>
              </w:rPr>
              <w:t>rispetto al 20</w:t>
            </w:r>
            <w:r w:rsidR="00474396" w:rsidRPr="003F0820">
              <w:rPr>
                <w:rFonts w:ascii="Georgia" w:hAnsi="Georgia" w:cs="Arial"/>
                <w:b/>
                <w:bCs/>
                <w:color w:val="E42618"/>
                <w:sz w:val="26"/>
                <w:szCs w:val="26"/>
              </w:rPr>
              <w:t>20</w:t>
            </w:r>
          </w:p>
          <w:p w14:paraId="72C9E915" w14:textId="77777777" w:rsidR="009C067F" w:rsidRPr="003F0820" w:rsidRDefault="009C067F" w:rsidP="00AD3B0D">
            <w:pPr>
              <w:tabs>
                <w:tab w:val="left" w:pos="459"/>
              </w:tabs>
              <w:autoSpaceDE w:val="0"/>
              <w:autoSpaceDN w:val="0"/>
              <w:adjustRightInd w:val="0"/>
              <w:ind w:left="459"/>
              <w:rPr>
                <w:rFonts w:ascii="Georgia" w:hAnsi="Georgia" w:cs="Arial"/>
                <w:b/>
                <w:bCs/>
                <w:color w:val="E42618"/>
                <w:sz w:val="26"/>
                <w:szCs w:val="26"/>
              </w:rPr>
            </w:pPr>
          </w:p>
          <w:p w14:paraId="148D8348" w14:textId="3C8F5AE1" w:rsidR="00AD3B0D" w:rsidRPr="00F35317" w:rsidRDefault="0045757C" w:rsidP="00C60E9F">
            <w:pPr>
              <w:tabs>
                <w:tab w:val="left" w:pos="459"/>
              </w:tabs>
              <w:autoSpaceDE w:val="0"/>
              <w:autoSpaceDN w:val="0"/>
              <w:adjustRightInd w:val="0"/>
              <w:ind w:left="459"/>
              <w:rPr>
                <w:rFonts w:ascii="Georgia" w:hAnsi="Georgia" w:cs="Arial"/>
                <w:bCs/>
                <w:color w:val="E42618"/>
                <w:sz w:val="16"/>
                <w:szCs w:val="16"/>
                <w:highlight w:val="yellow"/>
              </w:rPr>
            </w:pPr>
            <w:r>
              <w:rPr>
                <w:rFonts w:ascii="Arial Narrow" w:hAnsi="Arial Narrow" w:cs="Arial"/>
                <w:bCs/>
                <w:color w:val="1F497D" w:themeColor="text2"/>
              </w:rPr>
              <w:t>+25,2</w:t>
            </w:r>
            <w:r w:rsidR="00CB44BA">
              <w:rPr>
                <w:rFonts w:ascii="Arial Narrow" w:hAnsi="Arial Narrow" w:cs="Arial"/>
                <w:bCs/>
                <w:color w:val="1F497D" w:themeColor="text2"/>
              </w:rPr>
              <w:t xml:space="preserve">% </w:t>
            </w:r>
            <w:r w:rsidR="003F0820">
              <w:rPr>
                <w:rFonts w:ascii="Arial Narrow" w:hAnsi="Arial Narrow" w:cs="Arial"/>
                <w:bCs/>
                <w:color w:val="1F497D" w:themeColor="text2"/>
              </w:rPr>
              <w:t xml:space="preserve">in </w:t>
            </w:r>
            <w:r>
              <w:rPr>
                <w:rFonts w:ascii="Arial Narrow" w:hAnsi="Arial Narrow" w:cs="Arial"/>
                <w:bCs/>
                <w:color w:val="1F497D" w:themeColor="text2"/>
              </w:rPr>
              <w:t>Calabria al netto dell’inflazione</w:t>
            </w:r>
          </w:p>
        </w:tc>
        <w:tc>
          <w:tcPr>
            <w:tcW w:w="3812" w:type="dxa"/>
            <w:tcBorders>
              <w:left w:val="single" w:sz="12" w:space="0" w:color="FFFFFF" w:themeColor="background1"/>
              <w:bottom w:val="nil"/>
              <w:right w:val="single" w:sz="12" w:space="0" w:color="FFFFFF" w:themeColor="background1"/>
            </w:tcBorders>
            <w:shd w:val="clear" w:color="auto" w:fill="D9D9D9" w:themeFill="background1" w:themeFillShade="D9"/>
          </w:tcPr>
          <w:p w14:paraId="7CCFC82F" w14:textId="11C8008B" w:rsidR="00AD3B0D" w:rsidRPr="00C34D9E" w:rsidRDefault="00B109D6" w:rsidP="003F0820">
            <w:pPr>
              <w:tabs>
                <w:tab w:val="left" w:pos="851"/>
              </w:tabs>
              <w:autoSpaceDE w:val="0"/>
              <w:autoSpaceDN w:val="0"/>
              <w:adjustRightInd w:val="0"/>
              <w:ind w:left="17"/>
              <w:rPr>
                <w:rFonts w:ascii="Georgia" w:hAnsi="Georgia" w:cs="Arial"/>
                <w:bCs/>
                <w:color w:val="1F497D" w:themeColor="text2"/>
                <w:sz w:val="88"/>
                <w:szCs w:val="88"/>
              </w:rPr>
            </w:pPr>
            <w:r w:rsidRPr="003F0820">
              <w:rPr>
                <w:rFonts w:ascii="Georgia" w:hAnsi="Georgia" w:cs="Arial"/>
                <w:bCs/>
                <w:color w:val="1F497D" w:themeColor="text2"/>
                <w:sz w:val="88"/>
                <w:szCs w:val="88"/>
              </w:rPr>
              <w:t>174</w:t>
            </w:r>
            <w:r w:rsidR="009D3833">
              <w:rPr>
                <w:rFonts w:ascii="Georgia" w:hAnsi="Georgia" w:cs="Arial"/>
                <w:bCs/>
                <w:color w:val="1F497D" w:themeColor="text2"/>
                <w:sz w:val="88"/>
                <w:szCs w:val="88"/>
              </w:rPr>
              <w:t xml:space="preserve"> </w:t>
            </w:r>
            <w:r w:rsidR="00F135E1" w:rsidRPr="00E33523">
              <w:rPr>
                <w:rFonts w:ascii="Georgia" w:hAnsi="Georgia" w:cs="Arial"/>
                <w:bCs/>
                <w:color w:val="1F497D" w:themeColor="text2"/>
                <w:sz w:val="56"/>
                <w:szCs w:val="56"/>
              </w:rPr>
              <w:t>euro</w:t>
            </w:r>
          </w:p>
          <w:p w14:paraId="4A3F9E85" w14:textId="77777777" w:rsidR="00AD3B0D" w:rsidRPr="00C34D9E" w:rsidRDefault="00AD3B0D" w:rsidP="003F0820">
            <w:pPr>
              <w:tabs>
                <w:tab w:val="left" w:pos="851"/>
              </w:tabs>
              <w:autoSpaceDE w:val="0"/>
              <w:autoSpaceDN w:val="0"/>
              <w:adjustRightInd w:val="0"/>
              <w:ind w:left="17"/>
              <w:rPr>
                <w:rFonts w:ascii="Georgia" w:hAnsi="Georgia" w:cs="Arial"/>
                <w:b/>
                <w:bCs/>
                <w:color w:val="1F497D" w:themeColor="text2"/>
                <w:sz w:val="26"/>
                <w:szCs w:val="26"/>
              </w:rPr>
            </w:pPr>
          </w:p>
          <w:p w14:paraId="05B14071" w14:textId="33688996" w:rsidR="00AD3B0D" w:rsidRPr="00C34D9E" w:rsidRDefault="00F135E1" w:rsidP="003F0820">
            <w:pPr>
              <w:tabs>
                <w:tab w:val="left" w:pos="851"/>
              </w:tabs>
              <w:autoSpaceDE w:val="0"/>
              <w:autoSpaceDN w:val="0"/>
              <w:adjustRightInd w:val="0"/>
              <w:ind w:left="17"/>
              <w:rPr>
                <w:rFonts w:ascii="Georgia" w:hAnsi="Georgia" w:cs="Arial"/>
                <w:b/>
                <w:bCs/>
                <w:color w:val="1F497D" w:themeColor="text2"/>
                <w:sz w:val="26"/>
                <w:szCs w:val="26"/>
              </w:rPr>
            </w:pPr>
            <w:r w:rsidRPr="00C34D9E">
              <w:rPr>
                <w:rFonts w:ascii="Georgia" w:hAnsi="Georgia" w:cs="Arial"/>
                <w:b/>
                <w:bCs/>
                <w:color w:val="1F497D" w:themeColor="text2"/>
                <w:sz w:val="26"/>
                <w:szCs w:val="26"/>
              </w:rPr>
              <w:t xml:space="preserve">La spesa media </w:t>
            </w:r>
            <w:r>
              <w:rPr>
                <w:rFonts w:ascii="Georgia" w:hAnsi="Georgia" w:cs="Arial"/>
                <w:b/>
                <w:bCs/>
                <w:color w:val="1F497D" w:themeColor="text2"/>
                <w:sz w:val="26"/>
                <w:szCs w:val="26"/>
              </w:rPr>
              <w:t xml:space="preserve">pro-capite </w:t>
            </w:r>
            <w:r w:rsidRPr="005F5634">
              <w:rPr>
                <w:rFonts w:ascii="Georgia" w:hAnsi="Georgia" w:cs="Arial"/>
                <w:b/>
                <w:bCs/>
                <w:color w:val="1F497D" w:themeColor="text2"/>
                <w:sz w:val="26"/>
                <w:szCs w:val="26"/>
              </w:rPr>
              <w:t xml:space="preserve">per </w:t>
            </w:r>
            <w:r>
              <w:rPr>
                <w:rFonts w:ascii="Georgia" w:hAnsi="Georgia" w:cs="Arial"/>
                <w:b/>
                <w:bCs/>
                <w:color w:val="1F497D" w:themeColor="text2"/>
                <w:sz w:val="26"/>
                <w:szCs w:val="26"/>
              </w:rPr>
              <w:t>i servizi sociali</w:t>
            </w:r>
            <w:r w:rsidRPr="00C34D9E">
              <w:rPr>
                <w:rFonts w:ascii="Georgia" w:hAnsi="Georgia" w:cs="Arial"/>
                <w:b/>
                <w:bCs/>
                <w:color w:val="1F497D" w:themeColor="text2"/>
                <w:sz w:val="26"/>
                <w:szCs w:val="26"/>
              </w:rPr>
              <w:t xml:space="preserve"> al Nord </w:t>
            </w:r>
            <w:r w:rsidR="009D3833">
              <w:rPr>
                <w:rFonts w:ascii="Georgia" w:hAnsi="Georgia" w:cs="Arial"/>
                <w:b/>
                <w:bCs/>
                <w:color w:val="1F497D" w:themeColor="text2"/>
                <w:sz w:val="26"/>
                <w:szCs w:val="26"/>
              </w:rPr>
              <w:t>(</w:t>
            </w:r>
            <w:r w:rsidR="009D3833" w:rsidRPr="003F0820">
              <w:rPr>
                <w:rFonts w:ascii="Georgia" w:hAnsi="Georgia" w:cs="Arial"/>
                <w:b/>
                <w:bCs/>
                <w:color w:val="1F497D" w:themeColor="text2"/>
                <w:sz w:val="26"/>
                <w:szCs w:val="26"/>
              </w:rPr>
              <w:t xml:space="preserve">151 euro </w:t>
            </w:r>
            <w:r w:rsidR="00FE1A35">
              <w:rPr>
                <w:rFonts w:ascii="Georgia" w:hAnsi="Georgia" w:cs="Arial"/>
                <w:b/>
                <w:bCs/>
                <w:color w:val="1F497D" w:themeColor="text2"/>
                <w:sz w:val="26"/>
                <w:szCs w:val="26"/>
              </w:rPr>
              <w:t>a</w:t>
            </w:r>
            <w:r w:rsidR="009D3833" w:rsidRPr="003F0820">
              <w:rPr>
                <w:rFonts w:ascii="Georgia" w:hAnsi="Georgia" w:cs="Arial"/>
                <w:b/>
                <w:bCs/>
                <w:color w:val="1F497D" w:themeColor="text2"/>
                <w:sz w:val="26"/>
                <w:szCs w:val="26"/>
              </w:rPr>
              <w:t>l Centro</w:t>
            </w:r>
            <w:r w:rsidR="009D3833">
              <w:rPr>
                <w:rFonts w:ascii="Georgia" w:hAnsi="Georgia" w:cs="Arial"/>
                <w:b/>
                <w:bCs/>
                <w:color w:val="1F497D" w:themeColor="text2"/>
                <w:sz w:val="26"/>
                <w:szCs w:val="26"/>
              </w:rPr>
              <w:t>)</w:t>
            </w:r>
          </w:p>
          <w:p w14:paraId="2CC060D8" w14:textId="77777777" w:rsidR="00AD3B0D" w:rsidRDefault="00AD3B0D" w:rsidP="003F0820">
            <w:pPr>
              <w:tabs>
                <w:tab w:val="left" w:pos="459"/>
              </w:tabs>
              <w:autoSpaceDE w:val="0"/>
              <w:autoSpaceDN w:val="0"/>
              <w:adjustRightInd w:val="0"/>
              <w:ind w:left="143"/>
              <w:rPr>
                <w:rFonts w:ascii="Georgia" w:hAnsi="Georgia" w:cs="Arial"/>
                <w:bCs/>
                <w:color w:val="1F497D" w:themeColor="text2"/>
                <w:sz w:val="16"/>
                <w:szCs w:val="16"/>
                <w:highlight w:val="yellow"/>
              </w:rPr>
            </w:pPr>
          </w:p>
          <w:p w14:paraId="5A294A61" w14:textId="77777777" w:rsidR="00F135E1" w:rsidRDefault="00F135E1" w:rsidP="003F0820">
            <w:pPr>
              <w:tabs>
                <w:tab w:val="left" w:pos="459"/>
              </w:tabs>
              <w:autoSpaceDE w:val="0"/>
              <w:autoSpaceDN w:val="0"/>
              <w:adjustRightInd w:val="0"/>
              <w:ind w:left="143"/>
              <w:rPr>
                <w:rFonts w:ascii="Georgia" w:hAnsi="Georgia" w:cs="Arial"/>
                <w:bCs/>
                <w:color w:val="1F497D" w:themeColor="text2"/>
                <w:sz w:val="16"/>
                <w:szCs w:val="16"/>
                <w:highlight w:val="yellow"/>
              </w:rPr>
            </w:pPr>
          </w:p>
          <w:p w14:paraId="5CF54E53" w14:textId="77777777" w:rsidR="00F135E1" w:rsidRDefault="00F135E1" w:rsidP="003F0820">
            <w:pPr>
              <w:tabs>
                <w:tab w:val="left" w:pos="459"/>
              </w:tabs>
              <w:autoSpaceDE w:val="0"/>
              <w:autoSpaceDN w:val="0"/>
              <w:adjustRightInd w:val="0"/>
              <w:ind w:left="143"/>
              <w:rPr>
                <w:rFonts w:ascii="Georgia" w:hAnsi="Georgia" w:cs="Arial"/>
                <w:bCs/>
                <w:color w:val="1F497D" w:themeColor="text2"/>
                <w:sz w:val="16"/>
                <w:szCs w:val="16"/>
                <w:highlight w:val="yellow"/>
              </w:rPr>
            </w:pPr>
          </w:p>
          <w:p w14:paraId="296C602B" w14:textId="77777777" w:rsidR="009C067F" w:rsidRDefault="009C067F" w:rsidP="003F0820">
            <w:pPr>
              <w:tabs>
                <w:tab w:val="left" w:pos="459"/>
              </w:tabs>
              <w:autoSpaceDE w:val="0"/>
              <w:autoSpaceDN w:val="0"/>
              <w:adjustRightInd w:val="0"/>
              <w:ind w:left="143"/>
              <w:rPr>
                <w:rFonts w:ascii="Georgia" w:hAnsi="Georgia" w:cs="Arial"/>
                <w:bCs/>
                <w:color w:val="1F497D" w:themeColor="text2"/>
                <w:sz w:val="16"/>
                <w:szCs w:val="16"/>
                <w:highlight w:val="yellow"/>
              </w:rPr>
            </w:pPr>
          </w:p>
          <w:p w14:paraId="73858A37" w14:textId="77777777" w:rsidR="009C067F" w:rsidRDefault="009C067F" w:rsidP="003F0820">
            <w:pPr>
              <w:tabs>
                <w:tab w:val="left" w:pos="459"/>
              </w:tabs>
              <w:autoSpaceDE w:val="0"/>
              <w:autoSpaceDN w:val="0"/>
              <w:adjustRightInd w:val="0"/>
              <w:ind w:left="143"/>
              <w:rPr>
                <w:rFonts w:ascii="Georgia" w:hAnsi="Georgia" w:cs="Arial"/>
                <w:bCs/>
                <w:color w:val="1F497D" w:themeColor="text2"/>
                <w:sz w:val="16"/>
                <w:szCs w:val="16"/>
                <w:highlight w:val="yellow"/>
              </w:rPr>
            </w:pPr>
          </w:p>
          <w:p w14:paraId="13F20AAB" w14:textId="0ED471B6" w:rsidR="00F135E1" w:rsidRPr="00F35317" w:rsidRDefault="00B109D6" w:rsidP="003F0820">
            <w:pPr>
              <w:tabs>
                <w:tab w:val="left" w:pos="459"/>
              </w:tabs>
              <w:autoSpaceDE w:val="0"/>
              <w:autoSpaceDN w:val="0"/>
              <w:adjustRightInd w:val="0"/>
              <w:ind w:left="143"/>
              <w:rPr>
                <w:rFonts w:ascii="Georgia" w:hAnsi="Georgia" w:cs="Arial"/>
                <w:bCs/>
                <w:color w:val="1F497D" w:themeColor="text2"/>
                <w:sz w:val="16"/>
                <w:szCs w:val="16"/>
                <w:highlight w:val="yellow"/>
              </w:rPr>
            </w:pPr>
            <w:r w:rsidRPr="00B109D6">
              <w:rPr>
                <w:rFonts w:ascii="Arial Narrow" w:hAnsi="Arial Narrow" w:cs="Arial"/>
                <w:bCs/>
                <w:color w:val="1F497D" w:themeColor="text2"/>
              </w:rPr>
              <w:t>592</w:t>
            </w:r>
            <w:r>
              <w:rPr>
                <w:rFonts w:ascii="Arial Narrow" w:hAnsi="Arial Narrow" w:cs="Arial"/>
                <w:bCs/>
                <w:color w:val="1F497D" w:themeColor="text2"/>
              </w:rPr>
              <w:t xml:space="preserve"> euro nella Provincia Autonoma di Bolzano</w:t>
            </w:r>
          </w:p>
        </w:tc>
        <w:tc>
          <w:tcPr>
            <w:tcW w:w="4111" w:type="dxa"/>
            <w:tcBorders>
              <w:left w:val="single" w:sz="12" w:space="0" w:color="FFFFFF" w:themeColor="background1"/>
              <w:bottom w:val="nil"/>
              <w:right w:val="single" w:sz="12" w:space="0" w:color="FFFFFF" w:themeColor="background1"/>
            </w:tcBorders>
            <w:shd w:val="clear" w:color="auto" w:fill="D9D9D9" w:themeFill="background1" w:themeFillShade="D9"/>
            <w:tcMar>
              <w:left w:w="284" w:type="dxa"/>
              <w:right w:w="284" w:type="dxa"/>
            </w:tcMar>
          </w:tcPr>
          <w:p w14:paraId="68324994" w14:textId="34CFD042" w:rsidR="00F135E1" w:rsidRPr="003F0820" w:rsidRDefault="00B109D6" w:rsidP="00F135E1">
            <w:pPr>
              <w:tabs>
                <w:tab w:val="left" w:pos="851"/>
              </w:tabs>
              <w:autoSpaceDE w:val="0"/>
              <w:autoSpaceDN w:val="0"/>
              <w:adjustRightInd w:val="0"/>
              <w:ind w:left="143"/>
              <w:rPr>
                <w:rFonts w:ascii="Georgia" w:hAnsi="Georgia" w:cs="Arial"/>
                <w:bCs/>
                <w:color w:val="E42618"/>
                <w:sz w:val="88"/>
                <w:szCs w:val="88"/>
              </w:rPr>
            </w:pPr>
            <w:r>
              <w:rPr>
                <w:rFonts w:ascii="Georgia" w:hAnsi="Georgia" w:cs="Arial"/>
                <w:bCs/>
                <w:color w:val="E42618"/>
                <w:sz w:val="88"/>
                <w:szCs w:val="88"/>
              </w:rPr>
              <w:t>92</w:t>
            </w:r>
            <w:r w:rsidR="00F135E1" w:rsidRPr="003F0820">
              <w:rPr>
                <w:rFonts w:ascii="Georgia" w:hAnsi="Georgia" w:cs="Arial"/>
                <w:bCs/>
                <w:color w:val="E42618"/>
                <w:sz w:val="88"/>
                <w:szCs w:val="88"/>
              </w:rPr>
              <w:t xml:space="preserve"> </w:t>
            </w:r>
            <w:r w:rsidR="00F135E1" w:rsidRPr="00E33523">
              <w:rPr>
                <w:rFonts w:ascii="Georgia" w:hAnsi="Georgia" w:cs="Arial"/>
                <w:bCs/>
                <w:color w:val="E42618"/>
                <w:sz w:val="56"/>
                <w:szCs w:val="56"/>
              </w:rPr>
              <w:t>euro</w:t>
            </w:r>
          </w:p>
          <w:p w14:paraId="6C3D95F8" w14:textId="77777777" w:rsidR="00F135E1" w:rsidRPr="003F0820" w:rsidRDefault="00F135E1" w:rsidP="00F135E1">
            <w:pPr>
              <w:tabs>
                <w:tab w:val="left" w:pos="851"/>
              </w:tabs>
              <w:autoSpaceDE w:val="0"/>
              <w:autoSpaceDN w:val="0"/>
              <w:adjustRightInd w:val="0"/>
              <w:rPr>
                <w:rFonts w:ascii="Georgia" w:hAnsi="Georgia" w:cs="Arial"/>
                <w:b/>
                <w:bCs/>
                <w:color w:val="E42618"/>
                <w:sz w:val="26"/>
                <w:szCs w:val="26"/>
              </w:rPr>
            </w:pPr>
          </w:p>
          <w:p w14:paraId="11AF37D1" w14:textId="674DF00D" w:rsidR="00F135E1" w:rsidRPr="003F0820" w:rsidRDefault="00F135E1" w:rsidP="00F135E1">
            <w:pPr>
              <w:tabs>
                <w:tab w:val="left" w:pos="851"/>
              </w:tabs>
              <w:autoSpaceDE w:val="0"/>
              <w:autoSpaceDN w:val="0"/>
              <w:adjustRightInd w:val="0"/>
              <w:ind w:left="143"/>
              <w:rPr>
                <w:rFonts w:ascii="Georgia" w:hAnsi="Georgia" w:cs="Arial"/>
                <w:b/>
                <w:bCs/>
                <w:color w:val="E42618"/>
                <w:sz w:val="26"/>
                <w:szCs w:val="26"/>
              </w:rPr>
            </w:pPr>
            <w:r w:rsidRPr="003F0820">
              <w:rPr>
                <w:rFonts w:ascii="Georgia" w:hAnsi="Georgia" w:cs="Arial"/>
                <w:b/>
                <w:bCs/>
                <w:color w:val="E42618"/>
                <w:sz w:val="26"/>
                <w:szCs w:val="26"/>
              </w:rPr>
              <w:t xml:space="preserve">La spesa media pro-capite per i servizi sociali </w:t>
            </w:r>
            <w:r w:rsidR="00B109D6">
              <w:rPr>
                <w:rFonts w:ascii="Georgia" w:hAnsi="Georgia" w:cs="Arial"/>
                <w:b/>
                <w:bCs/>
                <w:color w:val="E42618"/>
                <w:sz w:val="26"/>
                <w:szCs w:val="26"/>
              </w:rPr>
              <w:t>al Mezzogiorno (Sud e Isole)</w:t>
            </w:r>
          </w:p>
          <w:p w14:paraId="09FD15FC" w14:textId="77777777" w:rsidR="00F135E1" w:rsidRDefault="00F135E1" w:rsidP="00F135E1">
            <w:pPr>
              <w:tabs>
                <w:tab w:val="left" w:pos="459"/>
              </w:tabs>
              <w:autoSpaceDE w:val="0"/>
              <w:autoSpaceDN w:val="0"/>
              <w:adjustRightInd w:val="0"/>
              <w:rPr>
                <w:rFonts w:ascii="Georgia" w:hAnsi="Georgia" w:cs="Arial"/>
                <w:b/>
                <w:bCs/>
                <w:color w:val="E42618"/>
                <w:sz w:val="26"/>
                <w:szCs w:val="26"/>
              </w:rPr>
            </w:pPr>
          </w:p>
          <w:p w14:paraId="567EE211" w14:textId="77777777" w:rsidR="009C067F" w:rsidRPr="003F0820" w:rsidRDefault="009C067F" w:rsidP="00F135E1">
            <w:pPr>
              <w:tabs>
                <w:tab w:val="left" w:pos="459"/>
              </w:tabs>
              <w:autoSpaceDE w:val="0"/>
              <w:autoSpaceDN w:val="0"/>
              <w:adjustRightInd w:val="0"/>
              <w:rPr>
                <w:rFonts w:ascii="Georgia" w:hAnsi="Georgia" w:cs="Arial"/>
                <w:b/>
                <w:bCs/>
                <w:color w:val="E42618"/>
                <w:sz w:val="26"/>
                <w:szCs w:val="26"/>
              </w:rPr>
            </w:pPr>
          </w:p>
          <w:p w14:paraId="47900DB9" w14:textId="6E5BBF44" w:rsidR="00AD3B0D" w:rsidRPr="00C60E9F" w:rsidRDefault="003F0820" w:rsidP="00C60E9F">
            <w:pPr>
              <w:tabs>
                <w:tab w:val="left" w:pos="459"/>
              </w:tabs>
              <w:autoSpaceDE w:val="0"/>
              <w:autoSpaceDN w:val="0"/>
              <w:adjustRightInd w:val="0"/>
              <w:ind w:left="143"/>
              <w:rPr>
                <w:rFonts w:ascii="Georgia" w:hAnsi="Georgia" w:cs="Arial"/>
                <w:bCs/>
                <w:color w:val="1F497D" w:themeColor="text2"/>
                <w:sz w:val="16"/>
                <w:szCs w:val="16"/>
              </w:rPr>
            </w:pPr>
            <w:r w:rsidRPr="003F0820">
              <w:rPr>
                <w:rFonts w:ascii="Arial Narrow" w:hAnsi="Arial Narrow" w:cs="Arial"/>
                <w:bCs/>
                <w:color w:val="1F497D" w:themeColor="text2"/>
              </w:rPr>
              <w:t>37 euro in Calabria</w:t>
            </w:r>
          </w:p>
        </w:tc>
      </w:tr>
    </w:tbl>
    <w:p w14:paraId="21979D08" w14:textId="75ABF9A1" w:rsidR="00C65721" w:rsidRPr="0058002A" w:rsidRDefault="00C65721" w:rsidP="000467F2">
      <w:pPr>
        <w:rPr>
          <w:rFonts w:ascii="Arial" w:hAnsi="Arial" w:cs="Arial"/>
          <w:iCs/>
          <w:noProof/>
          <w:color w:val="000000"/>
          <w:sz w:val="20"/>
          <w:szCs w:val="20"/>
        </w:rPr>
        <w:sectPr w:rsidR="00C65721" w:rsidRPr="0058002A" w:rsidSect="00123E17">
          <w:headerReference w:type="default" r:id="rId8"/>
          <w:footerReference w:type="even" r:id="rId9"/>
          <w:footerReference w:type="default" r:id="rId10"/>
          <w:headerReference w:type="first" r:id="rId11"/>
          <w:footerReference w:type="first" r:id="rId12"/>
          <w:type w:val="continuous"/>
          <w:pgSz w:w="11906" w:h="16838"/>
          <w:pgMar w:top="567" w:right="851" w:bottom="680" w:left="851" w:header="0" w:footer="0" w:gutter="0"/>
          <w:pgNumType w:start="1"/>
          <w:cols w:space="708"/>
          <w:titlePg/>
          <w:docGrid w:linePitch="360"/>
        </w:sectPr>
      </w:pPr>
    </w:p>
    <w:p w14:paraId="2B4CCC3B" w14:textId="5B785D9A" w:rsidR="00952F4A" w:rsidRPr="00881A67" w:rsidRDefault="00723FAD" w:rsidP="009B4FAC">
      <w:pPr>
        <w:autoSpaceDE w:val="0"/>
        <w:autoSpaceDN w:val="0"/>
        <w:adjustRightInd w:val="0"/>
        <w:spacing w:after="120"/>
        <w:jc w:val="both"/>
        <w:rPr>
          <w:rFonts w:ascii="Arial" w:hAnsi="Arial" w:cs="Arial"/>
          <w:b/>
          <w:color w:val="1F497D" w:themeColor="text2"/>
          <w:sz w:val="26"/>
          <w:szCs w:val="26"/>
        </w:rPr>
      </w:pPr>
      <w:r w:rsidRPr="00742C3D">
        <w:rPr>
          <w:rFonts w:ascii="Arial" w:hAnsi="Arial" w:cs="Arial"/>
          <w:b/>
          <w:color w:val="1F497D" w:themeColor="text2"/>
          <w:sz w:val="26"/>
          <w:szCs w:val="26"/>
        </w:rPr>
        <w:lastRenderedPageBreak/>
        <w:t>Ampi i divari territoriali della spesa per i</w:t>
      </w:r>
      <w:r w:rsidR="00465603" w:rsidRPr="00742C3D">
        <w:rPr>
          <w:rFonts w:ascii="Arial" w:hAnsi="Arial" w:cs="Arial"/>
          <w:b/>
          <w:color w:val="1F497D" w:themeColor="text2"/>
          <w:sz w:val="26"/>
          <w:szCs w:val="26"/>
        </w:rPr>
        <w:t xml:space="preserve"> servizi sociali</w:t>
      </w:r>
      <w:r w:rsidR="00465603">
        <w:rPr>
          <w:rFonts w:ascii="Arial" w:hAnsi="Arial" w:cs="Arial"/>
          <w:b/>
          <w:color w:val="1F497D" w:themeColor="text2"/>
          <w:sz w:val="26"/>
          <w:szCs w:val="26"/>
        </w:rPr>
        <w:t xml:space="preserve"> </w:t>
      </w:r>
    </w:p>
    <w:p w14:paraId="77AA586E" w14:textId="09947ABC" w:rsidR="00E33523" w:rsidRDefault="00E42768" w:rsidP="00B87E9F">
      <w:pPr>
        <w:spacing w:after="120"/>
        <w:jc w:val="both"/>
        <w:outlineLvl w:val="0"/>
        <w:rPr>
          <w:rFonts w:ascii="Arial" w:hAnsi="Arial" w:cs="Arial"/>
          <w:sz w:val="22"/>
          <w:szCs w:val="22"/>
        </w:rPr>
      </w:pPr>
      <w:r>
        <w:rPr>
          <w:rFonts w:ascii="Arial" w:hAnsi="Arial" w:cs="Arial"/>
          <w:sz w:val="22"/>
          <w:szCs w:val="22"/>
        </w:rPr>
        <w:t>Ai</w:t>
      </w:r>
      <w:r w:rsidR="00333663" w:rsidRPr="00825FF0">
        <w:rPr>
          <w:rFonts w:ascii="Arial" w:hAnsi="Arial" w:cs="Arial"/>
          <w:sz w:val="22"/>
          <w:szCs w:val="22"/>
        </w:rPr>
        <w:t xml:space="preserve"> Comuni</w:t>
      </w:r>
      <w:r>
        <w:rPr>
          <w:rFonts w:ascii="Arial" w:hAnsi="Arial" w:cs="Arial"/>
          <w:sz w:val="22"/>
          <w:szCs w:val="22"/>
        </w:rPr>
        <w:t xml:space="preserve"> </w:t>
      </w:r>
      <w:r w:rsidR="00333663" w:rsidRPr="00825FF0">
        <w:rPr>
          <w:rFonts w:ascii="Arial" w:hAnsi="Arial" w:cs="Arial"/>
          <w:sz w:val="22"/>
          <w:szCs w:val="22"/>
        </w:rPr>
        <w:t>compete l’offerta sul territorio degli interventi e servizi sociali</w:t>
      </w:r>
      <w:r>
        <w:rPr>
          <w:rFonts w:ascii="Arial" w:hAnsi="Arial" w:cs="Arial"/>
          <w:sz w:val="22"/>
          <w:szCs w:val="22"/>
        </w:rPr>
        <w:t xml:space="preserve">, </w:t>
      </w:r>
      <w:r w:rsidR="00D370A0">
        <w:rPr>
          <w:rFonts w:ascii="Arial" w:hAnsi="Arial" w:cs="Arial"/>
          <w:sz w:val="22"/>
          <w:szCs w:val="22"/>
        </w:rPr>
        <w:t xml:space="preserve">al </w:t>
      </w:r>
      <w:r>
        <w:rPr>
          <w:rFonts w:ascii="Arial" w:hAnsi="Arial" w:cs="Arial"/>
          <w:sz w:val="22"/>
          <w:szCs w:val="22"/>
        </w:rPr>
        <w:t>fin</w:t>
      </w:r>
      <w:r w:rsidR="00D370A0">
        <w:rPr>
          <w:rFonts w:ascii="Arial" w:hAnsi="Arial" w:cs="Arial"/>
          <w:sz w:val="22"/>
          <w:szCs w:val="22"/>
        </w:rPr>
        <w:t>e di</w:t>
      </w:r>
      <w:r w:rsidR="00564BEA" w:rsidRPr="00584989">
        <w:rPr>
          <w:rFonts w:ascii="Arial" w:hAnsi="Arial" w:cs="Arial"/>
          <w:sz w:val="22"/>
          <w:szCs w:val="22"/>
        </w:rPr>
        <w:t xml:space="preserve"> </w:t>
      </w:r>
      <w:r w:rsidR="00584989" w:rsidRPr="00584989">
        <w:rPr>
          <w:rFonts w:ascii="Arial" w:hAnsi="Arial" w:cs="Arial"/>
          <w:sz w:val="22"/>
          <w:szCs w:val="22"/>
        </w:rPr>
        <w:t xml:space="preserve">migliorare </w:t>
      </w:r>
      <w:r w:rsidR="00564BEA" w:rsidRPr="00584989">
        <w:rPr>
          <w:rFonts w:ascii="Arial" w:hAnsi="Arial" w:cs="Arial"/>
          <w:sz w:val="22"/>
          <w:szCs w:val="22"/>
        </w:rPr>
        <w:t xml:space="preserve">qualità della vita, </w:t>
      </w:r>
      <w:r w:rsidR="00584989" w:rsidRPr="00584989">
        <w:rPr>
          <w:rFonts w:ascii="Arial" w:hAnsi="Arial" w:cs="Arial"/>
          <w:sz w:val="22"/>
          <w:szCs w:val="22"/>
        </w:rPr>
        <w:t xml:space="preserve">garantire </w:t>
      </w:r>
      <w:r w:rsidR="00564BEA" w:rsidRPr="00584989">
        <w:rPr>
          <w:rFonts w:ascii="Arial" w:hAnsi="Arial" w:cs="Arial"/>
          <w:sz w:val="22"/>
          <w:szCs w:val="22"/>
        </w:rPr>
        <w:t>pari opportunità, non discrimina</w:t>
      </w:r>
      <w:r w:rsidR="00C513B8">
        <w:rPr>
          <w:rFonts w:ascii="Arial" w:hAnsi="Arial" w:cs="Arial"/>
          <w:sz w:val="22"/>
          <w:szCs w:val="22"/>
        </w:rPr>
        <w:t>r</w:t>
      </w:r>
      <w:r w:rsidR="00564BEA" w:rsidRPr="00584989">
        <w:rPr>
          <w:rFonts w:ascii="Arial" w:hAnsi="Arial" w:cs="Arial"/>
          <w:sz w:val="22"/>
          <w:szCs w:val="22"/>
        </w:rPr>
        <w:t xml:space="preserve">e e </w:t>
      </w:r>
      <w:r w:rsidR="00564BEA">
        <w:rPr>
          <w:rFonts w:ascii="Arial" w:hAnsi="Arial" w:cs="Arial"/>
          <w:sz w:val="22"/>
          <w:szCs w:val="22"/>
        </w:rPr>
        <w:t>tutela</w:t>
      </w:r>
      <w:r w:rsidR="00C513B8">
        <w:rPr>
          <w:rFonts w:ascii="Arial" w:hAnsi="Arial" w:cs="Arial"/>
          <w:sz w:val="22"/>
          <w:szCs w:val="22"/>
        </w:rPr>
        <w:t xml:space="preserve">re </w:t>
      </w:r>
      <w:r w:rsidR="00564BEA">
        <w:rPr>
          <w:rFonts w:ascii="Arial" w:hAnsi="Arial" w:cs="Arial"/>
          <w:sz w:val="22"/>
          <w:szCs w:val="22"/>
        </w:rPr>
        <w:t xml:space="preserve">i </w:t>
      </w:r>
      <w:r w:rsidR="00564BEA" w:rsidRPr="00825FF0">
        <w:rPr>
          <w:rFonts w:ascii="Arial" w:hAnsi="Arial" w:cs="Arial"/>
          <w:sz w:val="22"/>
          <w:szCs w:val="22"/>
        </w:rPr>
        <w:t xml:space="preserve">cittadini </w:t>
      </w:r>
      <w:r w:rsidR="00564BEA">
        <w:rPr>
          <w:rFonts w:ascii="Arial" w:hAnsi="Arial" w:cs="Arial"/>
          <w:sz w:val="22"/>
          <w:szCs w:val="22"/>
        </w:rPr>
        <w:t xml:space="preserve">in </w:t>
      </w:r>
      <w:r w:rsidR="00564BEA" w:rsidRPr="00584989">
        <w:rPr>
          <w:rFonts w:ascii="Arial" w:hAnsi="Arial" w:cs="Arial"/>
          <w:sz w:val="22"/>
          <w:szCs w:val="22"/>
        </w:rPr>
        <w:t>condizioni di svantaggio e vulnerabilità</w:t>
      </w:r>
      <w:r>
        <w:rPr>
          <w:rFonts w:ascii="Arial" w:hAnsi="Arial" w:cs="Arial"/>
          <w:sz w:val="22"/>
          <w:szCs w:val="22"/>
        </w:rPr>
        <w:t xml:space="preserve">. </w:t>
      </w:r>
      <w:r w:rsidR="00E33523">
        <w:rPr>
          <w:rFonts w:ascii="Arial" w:hAnsi="Arial" w:cs="Arial"/>
          <w:sz w:val="22"/>
          <w:szCs w:val="22"/>
        </w:rPr>
        <w:t>I dati vengono raccolti dall’Istat dopo la chiusura dei bilanci consuntivi dei Comuni</w:t>
      </w:r>
      <w:r w:rsidR="00E33523" w:rsidRPr="00EF2325">
        <w:rPr>
          <w:rFonts w:ascii="Arial" w:hAnsi="Arial" w:cs="Arial"/>
          <w:sz w:val="22"/>
          <w:szCs w:val="22"/>
        </w:rPr>
        <w:t xml:space="preserve"> </w:t>
      </w:r>
      <w:r w:rsidR="00E33523">
        <w:rPr>
          <w:rFonts w:ascii="Arial" w:hAnsi="Arial" w:cs="Arial"/>
          <w:sz w:val="22"/>
          <w:szCs w:val="22"/>
        </w:rPr>
        <w:t xml:space="preserve">e degli altri Enti di rilevazione, quindi diversi mesi dopo rispetto all’anno di riferimento. Inoltre, data la complessità delle informazioni richieste, la rilevazione </w:t>
      </w:r>
      <w:r w:rsidR="00683AFE">
        <w:rPr>
          <w:rFonts w:ascii="Arial" w:hAnsi="Arial" w:cs="Arial"/>
          <w:sz w:val="22"/>
          <w:szCs w:val="22"/>
        </w:rPr>
        <w:t xml:space="preserve">comporta </w:t>
      </w:r>
      <w:r w:rsidR="00E33523">
        <w:rPr>
          <w:rFonts w:ascii="Arial" w:hAnsi="Arial" w:cs="Arial"/>
          <w:sz w:val="22"/>
          <w:szCs w:val="22"/>
        </w:rPr>
        <w:t xml:space="preserve">tempi piuttosto lunghi e la successiva validazione dei dati trasmessi prevede accurate procedure di controllo, che </w:t>
      </w:r>
      <w:r w:rsidR="00683AFE">
        <w:rPr>
          <w:rFonts w:ascii="Arial" w:hAnsi="Arial" w:cs="Arial"/>
          <w:sz w:val="22"/>
          <w:szCs w:val="22"/>
        </w:rPr>
        <w:t xml:space="preserve">richiedono </w:t>
      </w:r>
      <w:r w:rsidR="00E33523">
        <w:rPr>
          <w:rFonts w:ascii="Arial" w:hAnsi="Arial" w:cs="Arial"/>
          <w:sz w:val="22"/>
          <w:szCs w:val="22"/>
        </w:rPr>
        <w:t xml:space="preserve">un ulteriore slittamento della diffusione delle informazioni rispetto all’anno di riferimento. Pertanto, il quadro informativo disponibile è riferito al 2021. </w:t>
      </w:r>
    </w:p>
    <w:p w14:paraId="342A898B" w14:textId="6EBD9C17" w:rsidR="00E33523" w:rsidRPr="00825FF0" w:rsidRDefault="00E33523" w:rsidP="00E33523">
      <w:pPr>
        <w:spacing w:after="40"/>
        <w:jc w:val="both"/>
        <w:outlineLvl w:val="0"/>
        <w:rPr>
          <w:rFonts w:ascii="Arial" w:hAnsi="Arial" w:cs="Arial"/>
          <w:sz w:val="22"/>
          <w:szCs w:val="22"/>
        </w:rPr>
      </w:pPr>
      <w:r>
        <w:rPr>
          <w:rFonts w:ascii="Arial" w:hAnsi="Arial" w:cs="Arial"/>
          <w:sz w:val="22"/>
          <w:szCs w:val="22"/>
        </w:rPr>
        <w:t xml:space="preserve">Nel 2021 i Comuni </w:t>
      </w:r>
      <w:r w:rsidRPr="00825FF0">
        <w:rPr>
          <w:rFonts w:ascii="Arial" w:hAnsi="Arial" w:cs="Arial"/>
          <w:sz w:val="22"/>
          <w:szCs w:val="22"/>
        </w:rPr>
        <w:t xml:space="preserve">hanno impegnato </w:t>
      </w:r>
      <w:r>
        <w:rPr>
          <w:rFonts w:ascii="Arial" w:hAnsi="Arial" w:cs="Arial"/>
          <w:sz w:val="22"/>
          <w:szCs w:val="22"/>
        </w:rPr>
        <w:t xml:space="preserve">per i servizi sociali e per gli asili nido </w:t>
      </w:r>
      <w:r w:rsidRPr="00825FF0">
        <w:rPr>
          <w:rFonts w:ascii="Arial" w:hAnsi="Arial" w:cs="Arial"/>
          <w:sz w:val="22"/>
          <w:szCs w:val="22"/>
        </w:rPr>
        <w:t>10,3 miliardi di euro, di cui 745 milioni rimborsati dalla compartecipazione pagata dagli utenti (7,2%) e 1,2 miliardi dal S</w:t>
      </w:r>
      <w:r w:rsidR="008C5F6F">
        <w:rPr>
          <w:rFonts w:ascii="Arial" w:hAnsi="Arial" w:cs="Arial"/>
          <w:sz w:val="22"/>
          <w:szCs w:val="22"/>
        </w:rPr>
        <w:t>SN</w:t>
      </w:r>
      <w:r w:rsidRPr="00825FF0">
        <w:rPr>
          <w:rFonts w:ascii="Arial" w:hAnsi="Arial" w:cs="Arial"/>
          <w:sz w:val="22"/>
          <w:szCs w:val="22"/>
        </w:rPr>
        <w:t xml:space="preserve"> (11,8%). </w:t>
      </w:r>
      <w:r>
        <w:rPr>
          <w:rFonts w:ascii="Arial" w:hAnsi="Arial" w:cs="Arial"/>
          <w:sz w:val="22"/>
          <w:szCs w:val="22"/>
        </w:rPr>
        <w:t>Al netto delle compartecipazioni, la</w:t>
      </w:r>
      <w:r w:rsidRPr="00825FF0">
        <w:rPr>
          <w:rFonts w:ascii="Arial" w:hAnsi="Arial" w:cs="Arial"/>
          <w:sz w:val="22"/>
          <w:szCs w:val="22"/>
        </w:rPr>
        <w:t xml:space="preserve"> spesa</w:t>
      </w:r>
      <w:r>
        <w:rPr>
          <w:rFonts w:ascii="Arial" w:hAnsi="Arial" w:cs="Arial"/>
          <w:sz w:val="22"/>
          <w:szCs w:val="22"/>
        </w:rPr>
        <w:t xml:space="preserve"> dei Comuni singoli o associati è stata di 8,4 miliardi di euro.</w:t>
      </w:r>
      <w:r w:rsidR="008C5F6F">
        <w:rPr>
          <w:rFonts w:ascii="Arial" w:hAnsi="Arial" w:cs="Arial"/>
          <w:sz w:val="22"/>
          <w:szCs w:val="22"/>
        </w:rPr>
        <w:t xml:space="preserve"> </w:t>
      </w:r>
      <w:r>
        <w:rPr>
          <w:rFonts w:ascii="Arial" w:hAnsi="Arial" w:cs="Arial"/>
          <w:sz w:val="22"/>
          <w:szCs w:val="22"/>
        </w:rPr>
        <w:t>I principali destinatari</w:t>
      </w:r>
      <w:r w:rsidRPr="00825FF0">
        <w:rPr>
          <w:rFonts w:ascii="Arial" w:hAnsi="Arial" w:cs="Arial"/>
          <w:sz w:val="22"/>
          <w:szCs w:val="22"/>
        </w:rPr>
        <w:t xml:space="preserve"> </w:t>
      </w:r>
      <w:r>
        <w:rPr>
          <w:rFonts w:ascii="Arial" w:hAnsi="Arial" w:cs="Arial"/>
          <w:sz w:val="22"/>
          <w:szCs w:val="22"/>
        </w:rPr>
        <w:t>della spesa sociale dei Comuni sono</w:t>
      </w:r>
      <w:r w:rsidRPr="00825FF0">
        <w:rPr>
          <w:rFonts w:ascii="Arial" w:hAnsi="Arial" w:cs="Arial"/>
          <w:sz w:val="22"/>
          <w:szCs w:val="22"/>
        </w:rPr>
        <w:t xml:space="preserve"> le famiglie con figli e i minori (37,7%</w:t>
      </w:r>
      <w:r w:rsidR="00303F77">
        <w:rPr>
          <w:rFonts w:ascii="Arial" w:hAnsi="Arial" w:cs="Arial"/>
          <w:sz w:val="22"/>
          <w:szCs w:val="22"/>
        </w:rPr>
        <w:t>), s</w:t>
      </w:r>
      <w:r>
        <w:rPr>
          <w:rFonts w:ascii="Arial" w:hAnsi="Arial" w:cs="Arial"/>
          <w:sz w:val="22"/>
          <w:szCs w:val="22"/>
        </w:rPr>
        <w:t>eguono</w:t>
      </w:r>
      <w:r w:rsidRPr="00825FF0">
        <w:rPr>
          <w:rFonts w:ascii="Arial" w:hAnsi="Arial" w:cs="Arial"/>
          <w:sz w:val="22"/>
          <w:szCs w:val="22"/>
        </w:rPr>
        <w:t xml:space="preserve"> le pe</w:t>
      </w:r>
      <w:r>
        <w:rPr>
          <w:rFonts w:ascii="Arial" w:hAnsi="Arial" w:cs="Arial"/>
          <w:sz w:val="22"/>
          <w:szCs w:val="22"/>
        </w:rPr>
        <w:t xml:space="preserve">rsone con disabilità (26,3%) e </w:t>
      </w:r>
      <w:r w:rsidRPr="00825FF0">
        <w:rPr>
          <w:rFonts w:ascii="Arial" w:hAnsi="Arial" w:cs="Arial"/>
          <w:sz w:val="22"/>
          <w:szCs w:val="22"/>
        </w:rPr>
        <w:t xml:space="preserve">gli anziani (15%). </w:t>
      </w:r>
      <w:r w:rsidR="008C5F6F">
        <w:rPr>
          <w:rFonts w:ascii="Arial" w:hAnsi="Arial" w:cs="Arial"/>
          <w:sz w:val="22"/>
          <w:szCs w:val="22"/>
        </w:rPr>
        <w:t>I</w:t>
      </w:r>
      <w:r>
        <w:rPr>
          <w:rFonts w:ascii="Arial" w:hAnsi="Arial" w:cs="Arial"/>
          <w:sz w:val="22"/>
          <w:szCs w:val="22"/>
        </w:rPr>
        <w:t>l 10,8% delle risorse è stat</w:t>
      </w:r>
      <w:r w:rsidR="00B87E9F">
        <w:rPr>
          <w:rFonts w:ascii="Arial" w:hAnsi="Arial" w:cs="Arial"/>
          <w:sz w:val="22"/>
          <w:szCs w:val="22"/>
        </w:rPr>
        <w:t>o</w:t>
      </w:r>
      <w:r>
        <w:rPr>
          <w:rFonts w:ascii="Arial" w:hAnsi="Arial" w:cs="Arial"/>
          <w:sz w:val="22"/>
          <w:szCs w:val="22"/>
        </w:rPr>
        <w:t xml:space="preserve"> impiegat</w:t>
      </w:r>
      <w:r w:rsidR="008C5F6F">
        <w:rPr>
          <w:rFonts w:ascii="Arial" w:hAnsi="Arial" w:cs="Arial"/>
          <w:sz w:val="22"/>
          <w:szCs w:val="22"/>
        </w:rPr>
        <w:t>o</w:t>
      </w:r>
      <w:r>
        <w:rPr>
          <w:rFonts w:ascii="Arial" w:hAnsi="Arial" w:cs="Arial"/>
          <w:sz w:val="22"/>
          <w:szCs w:val="22"/>
        </w:rPr>
        <w:t xml:space="preserve"> per contrast</w:t>
      </w:r>
      <w:r w:rsidR="00B87E9F">
        <w:rPr>
          <w:rFonts w:ascii="Arial" w:hAnsi="Arial" w:cs="Arial"/>
          <w:sz w:val="22"/>
          <w:szCs w:val="22"/>
        </w:rPr>
        <w:t>are</w:t>
      </w:r>
      <w:r>
        <w:rPr>
          <w:rFonts w:ascii="Arial" w:hAnsi="Arial" w:cs="Arial"/>
          <w:sz w:val="22"/>
          <w:szCs w:val="22"/>
        </w:rPr>
        <w:t xml:space="preserve"> la povertà e </w:t>
      </w:r>
      <w:r w:rsidR="00303F77">
        <w:rPr>
          <w:rFonts w:ascii="Arial" w:hAnsi="Arial" w:cs="Arial"/>
          <w:sz w:val="22"/>
          <w:szCs w:val="22"/>
        </w:rPr>
        <w:t xml:space="preserve">il </w:t>
      </w:r>
      <w:r>
        <w:rPr>
          <w:rFonts w:ascii="Arial" w:hAnsi="Arial" w:cs="Arial"/>
          <w:sz w:val="22"/>
          <w:szCs w:val="22"/>
        </w:rPr>
        <w:t xml:space="preserve">disagio degli adulti, il </w:t>
      </w:r>
      <w:r w:rsidRPr="00825FF0">
        <w:rPr>
          <w:rFonts w:ascii="Arial" w:hAnsi="Arial" w:cs="Arial"/>
          <w:sz w:val="22"/>
          <w:szCs w:val="22"/>
        </w:rPr>
        <w:t>4,2</w:t>
      </w:r>
      <w:r>
        <w:rPr>
          <w:rFonts w:ascii="Arial" w:hAnsi="Arial" w:cs="Arial"/>
          <w:sz w:val="22"/>
          <w:szCs w:val="22"/>
        </w:rPr>
        <w:t>% per gli i</w:t>
      </w:r>
      <w:r w:rsidRPr="00825FF0">
        <w:rPr>
          <w:rFonts w:ascii="Arial" w:hAnsi="Arial" w:cs="Arial"/>
          <w:sz w:val="22"/>
          <w:szCs w:val="22"/>
        </w:rPr>
        <w:t xml:space="preserve">mmigrati, </w:t>
      </w:r>
      <w:r>
        <w:rPr>
          <w:rFonts w:ascii="Arial" w:hAnsi="Arial" w:cs="Arial"/>
          <w:sz w:val="22"/>
          <w:szCs w:val="22"/>
        </w:rPr>
        <w:t>lo 0,3%</w:t>
      </w:r>
      <w:r w:rsidRPr="00825FF0">
        <w:rPr>
          <w:rFonts w:ascii="Arial" w:hAnsi="Arial" w:cs="Arial"/>
          <w:sz w:val="22"/>
          <w:szCs w:val="22"/>
        </w:rPr>
        <w:t xml:space="preserve"> </w:t>
      </w:r>
      <w:r>
        <w:rPr>
          <w:rFonts w:ascii="Arial" w:hAnsi="Arial" w:cs="Arial"/>
          <w:sz w:val="22"/>
          <w:szCs w:val="22"/>
        </w:rPr>
        <w:t xml:space="preserve">per </w:t>
      </w:r>
      <w:r w:rsidRPr="00825FF0">
        <w:rPr>
          <w:rFonts w:ascii="Arial" w:hAnsi="Arial" w:cs="Arial"/>
          <w:sz w:val="22"/>
          <w:szCs w:val="22"/>
        </w:rPr>
        <w:t xml:space="preserve">le </w:t>
      </w:r>
      <w:r>
        <w:rPr>
          <w:rFonts w:ascii="Arial" w:hAnsi="Arial" w:cs="Arial"/>
          <w:sz w:val="22"/>
          <w:szCs w:val="22"/>
        </w:rPr>
        <w:t xml:space="preserve">persone con </w:t>
      </w:r>
      <w:r w:rsidRPr="00825FF0">
        <w:rPr>
          <w:rFonts w:ascii="Arial" w:hAnsi="Arial" w:cs="Arial"/>
          <w:sz w:val="22"/>
          <w:szCs w:val="22"/>
        </w:rPr>
        <w:t>dipendenze da alcol e droga</w:t>
      </w:r>
      <w:r w:rsidR="008C5F6F">
        <w:rPr>
          <w:rFonts w:ascii="Arial" w:hAnsi="Arial" w:cs="Arial"/>
          <w:sz w:val="22"/>
          <w:szCs w:val="22"/>
        </w:rPr>
        <w:t>,</w:t>
      </w:r>
      <w:r w:rsidRPr="00825FF0">
        <w:rPr>
          <w:rFonts w:ascii="Arial" w:hAnsi="Arial" w:cs="Arial"/>
          <w:sz w:val="22"/>
          <w:szCs w:val="22"/>
        </w:rPr>
        <w:t xml:space="preserve"> </w:t>
      </w:r>
      <w:r>
        <w:rPr>
          <w:rFonts w:ascii="Arial" w:hAnsi="Arial" w:cs="Arial"/>
          <w:sz w:val="22"/>
          <w:szCs w:val="22"/>
        </w:rPr>
        <w:t>i</w:t>
      </w:r>
      <w:r w:rsidRPr="00825FF0">
        <w:rPr>
          <w:rFonts w:ascii="Arial" w:hAnsi="Arial" w:cs="Arial"/>
          <w:sz w:val="22"/>
          <w:szCs w:val="22"/>
        </w:rPr>
        <w:t xml:space="preserve">l rimanente 5,7% </w:t>
      </w:r>
      <w:r w:rsidR="008C5F6F">
        <w:rPr>
          <w:rFonts w:ascii="Arial" w:hAnsi="Arial" w:cs="Arial"/>
          <w:sz w:val="22"/>
          <w:szCs w:val="22"/>
        </w:rPr>
        <w:t>per</w:t>
      </w:r>
      <w:r w:rsidRPr="00825FF0">
        <w:rPr>
          <w:rFonts w:ascii="Arial" w:hAnsi="Arial" w:cs="Arial"/>
          <w:sz w:val="22"/>
          <w:szCs w:val="22"/>
        </w:rPr>
        <w:t xml:space="preserve"> attività generali e multiutenza. </w:t>
      </w:r>
    </w:p>
    <w:p w14:paraId="5EEB56F0" w14:textId="6ED71AFF" w:rsidR="00E33523" w:rsidRDefault="00E33523" w:rsidP="00E33523">
      <w:pPr>
        <w:spacing w:after="40"/>
        <w:jc w:val="both"/>
        <w:outlineLvl w:val="0"/>
        <w:rPr>
          <w:rFonts w:ascii="Arial" w:hAnsi="Arial" w:cs="Arial"/>
          <w:sz w:val="22"/>
          <w:szCs w:val="22"/>
        </w:rPr>
      </w:pPr>
      <w:r>
        <w:rPr>
          <w:rFonts w:ascii="Arial" w:hAnsi="Arial" w:cs="Arial"/>
          <w:sz w:val="22"/>
          <w:szCs w:val="22"/>
        </w:rPr>
        <w:t xml:space="preserve">Nel 2021 la spesa dei Comuni, al netto delle integrazioni del </w:t>
      </w:r>
      <w:r w:rsidR="00DF4194" w:rsidRPr="00825FF0">
        <w:rPr>
          <w:rFonts w:ascii="Arial" w:hAnsi="Arial" w:cs="Arial"/>
          <w:sz w:val="22"/>
          <w:szCs w:val="22"/>
        </w:rPr>
        <w:t>S</w:t>
      </w:r>
      <w:r w:rsidR="00DF4194">
        <w:rPr>
          <w:rFonts w:ascii="Arial" w:hAnsi="Arial" w:cs="Arial"/>
          <w:sz w:val="22"/>
          <w:szCs w:val="22"/>
        </w:rPr>
        <w:t xml:space="preserve">SN </w:t>
      </w:r>
      <w:r>
        <w:rPr>
          <w:rFonts w:ascii="Arial" w:hAnsi="Arial" w:cs="Arial"/>
          <w:sz w:val="22"/>
          <w:szCs w:val="22"/>
        </w:rPr>
        <w:t>e delle quote pagate dagli utenti</w:t>
      </w:r>
      <w:r w:rsidR="00683AFE">
        <w:rPr>
          <w:rFonts w:ascii="Arial" w:hAnsi="Arial" w:cs="Arial"/>
          <w:sz w:val="22"/>
          <w:szCs w:val="22"/>
        </w:rPr>
        <w:t>,</w:t>
      </w:r>
      <w:r>
        <w:rPr>
          <w:rFonts w:ascii="Arial" w:hAnsi="Arial" w:cs="Arial"/>
          <w:sz w:val="22"/>
          <w:szCs w:val="22"/>
        </w:rPr>
        <w:t xml:space="preserve"> è aumentata del 6,7% rispetto al 2020 (4,7% tenendo conto dell’inflazione). </w:t>
      </w:r>
      <w:r w:rsidR="00DF4194">
        <w:rPr>
          <w:rFonts w:ascii="Arial" w:hAnsi="Arial" w:cs="Arial"/>
          <w:sz w:val="22"/>
          <w:szCs w:val="22"/>
        </w:rPr>
        <w:t>Il maggiore incremento è stato al</w:t>
      </w:r>
      <w:r>
        <w:rPr>
          <w:rFonts w:ascii="Arial" w:hAnsi="Arial" w:cs="Arial"/>
          <w:sz w:val="22"/>
          <w:szCs w:val="22"/>
        </w:rPr>
        <w:t xml:space="preserve"> Sud (8,1% in valuta corrente, 6,1% in termini reali), ma </w:t>
      </w:r>
      <w:r w:rsidR="00DF4194">
        <w:rPr>
          <w:rFonts w:ascii="Arial" w:hAnsi="Arial" w:cs="Arial"/>
          <w:sz w:val="22"/>
          <w:szCs w:val="22"/>
        </w:rPr>
        <w:t xml:space="preserve">restano ampi </w:t>
      </w:r>
      <w:r>
        <w:rPr>
          <w:rFonts w:ascii="Arial" w:hAnsi="Arial" w:cs="Arial"/>
          <w:sz w:val="22"/>
          <w:szCs w:val="22"/>
        </w:rPr>
        <w:t>differenziali rispetto alle altre aree del Paese. Al Nord-est si registra la spesa più alta (197 euro pro-capite), quasi tre volte superiore rispetto al Sud (72 euro). Il Nord-ovest e il Centro</w:t>
      </w:r>
      <w:r w:rsidR="00DF4194">
        <w:rPr>
          <w:rFonts w:ascii="Arial" w:hAnsi="Arial" w:cs="Arial"/>
          <w:sz w:val="22"/>
          <w:szCs w:val="22"/>
        </w:rPr>
        <w:t xml:space="preserve"> (</w:t>
      </w:r>
      <w:r>
        <w:rPr>
          <w:rFonts w:ascii="Arial" w:hAnsi="Arial" w:cs="Arial"/>
          <w:sz w:val="22"/>
          <w:szCs w:val="22"/>
        </w:rPr>
        <w:t>156 e 151 euro pro-capite rispettivamente</w:t>
      </w:r>
      <w:r w:rsidR="00DF4194">
        <w:rPr>
          <w:rFonts w:ascii="Arial" w:hAnsi="Arial" w:cs="Arial"/>
          <w:sz w:val="22"/>
          <w:szCs w:val="22"/>
        </w:rPr>
        <w:t>) sono poco</w:t>
      </w:r>
      <w:r>
        <w:rPr>
          <w:rFonts w:ascii="Arial" w:hAnsi="Arial" w:cs="Arial"/>
          <w:sz w:val="22"/>
          <w:szCs w:val="22"/>
        </w:rPr>
        <w:t xml:space="preserve"> al di sopra della media nazionale (142), le Isole poco al di sotto (134 euro), ma con una notevole differenza fra la Sardegna</w:t>
      </w:r>
      <w:r w:rsidR="00DF4194">
        <w:rPr>
          <w:rFonts w:ascii="Arial" w:hAnsi="Arial" w:cs="Arial"/>
          <w:sz w:val="22"/>
          <w:szCs w:val="22"/>
        </w:rPr>
        <w:t xml:space="preserve"> (ben </w:t>
      </w:r>
      <w:r>
        <w:rPr>
          <w:rFonts w:ascii="Arial" w:hAnsi="Arial" w:cs="Arial"/>
          <w:sz w:val="22"/>
          <w:szCs w:val="22"/>
        </w:rPr>
        <w:t>279 euro pro-capite) e la Sicilia (86 euro).</w:t>
      </w:r>
    </w:p>
    <w:p w14:paraId="05730CEF" w14:textId="7C65A97F" w:rsidR="00E33523" w:rsidRDefault="00E33523" w:rsidP="00E33523">
      <w:pPr>
        <w:spacing w:after="40"/>
        <w:jc w:val="both"/>
        <w:outlineLvl w:val="0"/>
        <w:rPr>
          <w:rFonts w:ascii="Arial" w:hAnsi="Arial" w:cs="Arial"/>
          <w:sz w:val="22"/>
          <w:szCs w:val="22"/>
        </w:rPr>
      </w:pPr>
      <w:r>
        <w:rPr>
          <w:rFonts w:ascii="Arial" w:hAnsi="Arial" w:cs="Arial"/>
          <w:sz w:val="22"/>
          <w:szCs w:val="22"/>
        </w:rPr>
        <w:t xml:space="preserve">A livello regionale i maggiori incrementi </w:t>
      </w:r>
      <w:r w:rsidR="006E6438">
        <w:rPr>
          <w:rFonts w:ascii="Arial" w:hAnsi="Arial" w:cs="Arial"/>
          <w:sz w:val="22"/>
          <w:szCs w:val="22"/>
        </w:rPr>
        <w:t>di</w:t>
      </w:r>
      <w:r>
        <w:rPr>
          <w:rFonts w:ascii="Arial" w:hAnsi="Arial" w:cs="Arial"/>
          <w:sz w:val="22"/>
          <w:szCs w:val="22"/>
        </w:rPr>
        <w:t xml:space="preserve"> Calabria (27,6%), Pugl</w:t>
      </w:r>
      <w:r w:rsidR="00303F77">
        <w:rPr>
          <w:rFonts w:ascii="Arial" w:hAnsi="Arial" w:cs="Arial"/>
          <w:sz w:val="22"/>
          <w:szCs w:val="22"/>
        </w:rPr>
        <w:t>ia (18,5%) e Basilicata (17,2%)</w:t>
      </w:r>
      <w:r>
        <w:rPr>
          <w:rFonts w:ascii="Arial" w:hAnsi="Arial" w:cs="Arial"/>
          <w:sz w:val="22"/>
          <w:szCs w:val="22"/>
        </w:rPr>
        <w:t xml:space="preserve"> non sono sufficienti per modificare sostanzialmente i divari. La spesa dei Comuni della Calabria, ad esempio (37 euro pro-capite), mantiene una grande distanza rispetto alla media nazionale (142 euro) e soprattutto ai territori che investono più risorse: la P</w:t>
      </w:r>
      <w:r w:rsidRPr="000D1F58">
        <w:rPr>
          <w:rFonts w:ascii="Arial" w:hAnsi="Arial" w:cs="Arial"/>
          <w:sz w:val="22"/>
          <w:szCs w:val="22"/>
        </w:rPr>
        <w:t>rovinc</w:t>
      </w:r>
      <w:r>
        <w:rPr>
          <w:rFonts w:ascii="Arial" w:hAnsi="Arial" w:cs="Arial"/>
          <w:sz w:val="22"/>
          <w:szCs w:val="22"/>
        </w:rPr>
        <w:t>ia</w:t>
      </w:r>
      <w:r w:rsidRPr="000D1F58">
        <w:rPr>
          <w:rFonts w:ascii="Arial" w:hAnsi="Arial" w:cs="Arial"/>
          <w:sz w:val="22"/>
          <w:szCs w:val="22"/>
        </w:rPr>
        <w:t xml:space="preserve"> A</w:t>
      </w:r>
      <w:r>
        <w:rPr>
          <w:rFonts w:ascii="Arial" w:hAnsi="Arial" w:cs="Arial"/>
          <w:sz w:val="22"/>
          <w:szCs w:val="22"/>
        </w:rPr>
        <w:t>utonoma di Bolzano si attesta su</w:t>
      </w:r>
      <w:r w:rsidRPr="000D1F58">
        <w:rPr>
          <w:rFonts w:ascii="Arial" w:hAnsi="Arial" w:cs="Arial"/>
          <w:sz w:val="22"/>
          <w:szCs w:val="22"/>
        </w:rPr>
        <w:t xml:space="preserve"> 592 euro, seguono </w:t>
      </w:r>
      <w:r>
        <w:rPr>
          <w:rFonts w:ascii="Arial" w:hAnsi="Arial" w:cs="Arial"/>
          <w:sz w:val="22"/>
          <w:szCs w:val="22"/>
        </w:rPr>
        <w:t>tre</w:t>
      </w:r>
      <w:r w:rsidRPr="000D1F58">
        <w:rPr>
          <w:rFonts w:ascii="Arial" w:hAnsi="Arial" w:cs="Arial"/>
          <w:sz w:val="22"/>
          <w:szCs w:val="22"/>
        </w:rPr>
        <w:t xml:space="preserve"> regioni a statuto speciale (Friuli-Venezia Giulia, Sardegna, Valle D’Aosta)</w:t>
      </w:r>
      <w:r>
        <w:rPr>
          <w:rFonts w:ascii="Arial" w:hAnsi="Arial" w:cs="Arial"/>
          <w:sz w:val="22"/>
          <w:szCs w:val="22"/>
        </w:rPr>
        <w:t>, la Provincia Autonoma di Trento</w:t>
      </w:r>
      <w:r w:rsidR="002F435C">
        <w:rPr>
          <w:rFonts w:ascii="Arial" w:hAnsi="Arial" w:cs="Arial"/>
          <w:sz w:val="22"/>
          <w:szCs w:val="22"/>
        </w:rPr>
        <w:t>,</w:t>
      </w:r>
      <w:r w:rsidRPr="000D1F58">
        <w:rPr>
          <w:rFonts w:ascii="Arial" w:hAnsi="Arial" w:cs="Arial"/>
          <w:sz w:val="22"/>
          <w:szCs w:val="22"/>
        </w:rPr>
        <w:t xml:space="preserve"> </w:t>
      </w:r>
      <w:r w:rsidR="00B87E9F" w:rsidRPr="000D1F58">
        <w:rPr>
          <w:rFonts w:ascii="Arial" w:hAnsi="Arial" w:cs="Arial"/>
          <w:sz w:val="22"/>
          <w:szCs w:val="22"/>
        </w:rPr>
        <w:t>l’Emilia-Romagna</w:t>
      </w:r>
      <w:r>
        <w:rPr>
          <w:rFonts w:ascii="Arial" w:hAnsi="Arial" w:cs="Arial"/>
          <w:sz w:val="22"/>
          <w:szCs w:val="22"/>
        </w:rPr>
        <w:t xml:space="preserve"> (al di sopra dei 200 euro pro-capite)</w:t>
      </w:r>
      <w:r w:rsidRPr="000D1F58">
        <w:rPr>
          <w:rFonts w:ascii="Arial" w:hAnsi="Arial" w:cs="Arial"/>
          <w:sz w:val="22"/>
          <w:szCs w:val="22"/>
        </w:rPr>
        <w:t xml:space="preserve">. </w:t>
      </w:r>
    </w:p>
    <w:p w14:paraId="58C8EF6E" w14:textId="3A98072D" w:rsidR="00E33523" w:rsidRDefault="006E6438" w:rsidP="00E33523">
      <w:pPr>
        <w:spacing w:after="40"/>
        <w:jc w:val="both"/>
        <w:outlineLvl w:val="0"/>
        <w:rPr>
          <w:rFonts w:ascii="Arial" w:hAnsi="Arial" w:cs="Arial"/>
          <w:sz w:val="22"/>
          <w:szCs w:val="22"/>
        </w:rPr>
      </w:pPr>
      <w:r>
        <w:rPr>
          <w:rFonts w:ascii="Arial" w:hAnsi="Arial" w:cs="Arial"/>
          <w:sz w:val="22"/>
          <w:szCs w:val="22"/>
        </w:rPr>
        <w:t>Divari rilevanti</w:t>
      </w:r>
      <w:r w:rsidRPr="009F26C2">
        <w:rPr>
          <w:rFonts w:ascii="Arial" w:hAnsi="Arial" w:cs="Arial"/>
          <w:sz w:val="22"/>
          <w:szCs w:val="22"/>
        </w:rPr>
        <w:t xml:space="preserve"> </w:t>
      </w:r>
      <w:r>
        <w:rPr>
          <w:rFonts w:ascii="Arial" w:hAnsi="Arial" w:cs="Arial"/>
          <w:sz w:val="22"/>
          <w:szCs w:val="22"/>
        </w:rPr>
        <w:t>permangono anche nella</w:t>
      </w:r>
      <w:r w:rsidR="00E33523">
        <w:rPr>
          <w:rFonts w:ascii="Arial" w:hAnsi="Arial" w:cs="Arial"/>
          <w:sz w:val="22"/>
          <w:szCs w:val="22"/>
        </w:rPr>
        <w:t xml:space="preserve"> spesa sociale </w:t>
      </w:r>
      <w:r w:rsidR="00E33523" w:rsidRPr="009F26C2">
        <w:rPr>
          <w:rFonts w:ascii="Arial" w:hAnsi="Arial" w:cs="Arial"/>
          <w:sz w:val="22"/>
          <w:szCs w:val="22"/>
        </w:rPr>
        <w:t xml:space="preserve">fra Comuni </w:t>
      </w:r>
      <w:r w:rsidR="00E33523">
        <w:rPr>
          <w:rFonts w:ascii="Arial" w:hAnsi="Arial" w:cs="Arial"/>
          <w:sz w:val="22"/>
          <w:szCs w:val="22"/>
        </w:rPr>
        <w:t>de</w:t>
      </w:r>
      <w:r w:rsidR="00E33523" w:rsidRPr="009F26C2">
        <w:rPr>
          <w:rFonts w:ascii="Arial" w:hAnsi="Arial" w:cs="Arial"/>
          <w:sz w:val="22"/>
          <w:szCs w:val="22"/>
        </w:rPr>
        <w:t>lla stessa regione. In generale</w:t>
      </w:r>
      <w:r w:rsidR="00E33523">
        <w:rPr>
          <w:rFonts w:ascii="Arial" w:hAnsi="Arial" w:cs="Arial"/>
          <w:sz w:val="22"/>
          <w:szCs w:val="22"/>
        </w:rPr>
        <w:t>,</w:t>
      </w:r>
      <w:r w:rsidR="00E33523" w:rsidRPr="00EB1511">
        <w:rPr>
          <w:rFonts w:ascii="Arial" w:hAnsi="Arial" w:cs="Arial"/>
          <w:sz w:val="22"/>
          <w:szCs w:val="22"/>
        </w:rPr>
        <w:t xml:space="preserve"> </w:t>
      </w:r>
      <w:r w:rsidR="00E33523" w:rsidRPr="009F26C2">
        <w:rPr>
          <w:rFonts w:ascii="Arial" w:hAnsi="Arial" w:cs="Arial"/>
          <w:sz w:val="22"/>
          <w:szCs w:val="22"/>
        </w:rPr>
        <w:t xml:space="preserve">le risorse </w:t>
      </w:r>
      <w:r w:rsidR="00E33523">
        <w:rPr>
          <w:rFonts w:ascii="Arial" w:hAnsi="Arial" w:cs="Arial"/>
          <w:sz w:val="22"/>
          <w:szCs w:val="22"/>
        </w:rPr>
        <w:t>aumentano</w:t>
      </w:r>
      <w:r w:rsidR="00E33523" w:rsidRPr="009F26C2">
        <w:rPr>
          <w:rFonts w:ascii="Arial" w:hAnsi="Arial" w:cs="Arial"/>
          <w:sz w:val="22"/>
          <w:szCs w:val="22"/>
        </w:rPr>
        <w:t xml:space="preserve"> al</w:t>
      </w:r>
      <w:r w:rsidR="00E33523">
        <w:rPr>
          <w:rFonts w:ascii="Arial" w:hAnsi="Arial" w:cs="Arial"/>
          <w:sz w:val="22"/>
          <w:szCs w:val="22"/>
        </w:rPr>
        <w:t xml:space="preserve"> crescere</w:t>
      </w:r>
      <w:r w:rsidR="00E33523" w:rsidRPr="009F26C2">
        <w:rPr>
          <w:rFonts w:ascii="Arial" w:hAnsi="Arial" w:cs="Arial"/>
          <w:sz w:val="22"/>
          <w:szCs w:val="22"/>
        </w:rPr>
        <w:t xml:space="preserve"> della dimensione demografica</w:t>
      </w:r>
      <w:r w:rsidR="00E33523">
        <w:rPr>
          <w:rFonts w:ascii="Arial" w:hAnsi="Arial" w:cs="Arial"/>
          <w:sz w:val="22"/>
          <w:szCs w:val="22"/>
        </w:rPr>
        <w:t xml:space="preserve"> dei Comuni</w:t>
      </w:r>
      <w:r w:rsidR="00E33523" w:rsidRPr="009F26C2">
        <w:rPr>
          <w:rFonts w:ascii="Arial" w:hAnsi="Arial" w:cs="Arial"/>
          <w:sz w:val="22"/>
          <w:szCs w:val="22"/>
        </w:rPr>
        <w:t xml:space="preserve">, mantenendo però </w:t>
      </w:r>
      <w:r w:rsidR="00E33523">
        <w:rPr>
          <w:rFonts w:ascii="Arial" w:hAnsi="Arial" w:cs="Arial"/>
          <w:sz w:val="22"/>
          <w:szCs w:val="22"/>
        </w:rPr>
        <w:t>le rilevantissime distanze</w:t>
      </w:r>
      <w:r w:rsidR="00E33523" w:rsidRPr="009F26C2">
        <w:rPr>
          <w:rFonts w:ascii="Arial" w:hAnsi="Arial" w:cs="Arial"/>
          <w:sz w:val="22"/>
          <w:szCs w:val="22"/>
        </w:rPr>
        <w:t xml:space="preserve"> fra le </w:t>
      </w:r>
      <w:r w:rsidR="00E33523">
        <w:rPr>
          <w:rFonts w:ascii="Arial" w:hAnsi="Arial" w:cs="Arial"/>
          <w:sz w:val="22"/>
          <w:szCs w:val="22"/>
        </w:rPr>
        <w:t>tre principali aree geografiche</w:t>
      </w:r>
      <w:r w:rsidR="00E33523" w:rsidRPr="009F26C2">
        <w:rPr>
          <w:rFonts w:ascii="Arial" w:hAnsi="Arial" w:cs="Arial"/>
          <w:sz w:val="22"/>
          <w:szCs w:val="22"/>
        </w:rPr>
        <w:t xml:space="preserve">. </w:t>
      </w:r>
      <w:r w:rsidR="00E33523">
        <w:rPr>
          <w:rFonts w:ascii="Arial" w:hAnsi="Arial" w:cs="Arial"/>
          <w:sz w:val="22"/>
          <w:szCs w:val="22"/>
        </w:rPr>
        <w:t xml:space="preserve">In media i Comuni al di sotto dei 10mila abitanti spendono per il </w:t>
      </w:r>
      <w:r w:rsidR="00E33523" w:rsidRPr="00E8714A">
        <w:rPr>
          <w:rFonts w:ascii="Arial" w:hAnsi="Arial" w:cs="Arial"/>
          <w:i/>
          <w:iCs/>
          <w:sz w:val="22"/>
          <w:szCs w:val="22"/>
        </w:rPr>
        <w:t>welfare</w:t>
      </w:r>
      <w:r w:rsidR="00E33523">
        <w:rPr>
          <w:rFonts w:ascii="Arial" w:hAnsi="Arial" w:cs="Arial"/>
          <w:sz w:val="22"/>
          <w:szCs w:val="22"/>
        </w:rPr>
        <w:t xml:space="preserve"> locale </w:t>
      </w:r>
      <w:r w:rsidR="00E33523" w:rsidRPr="00752575">
        <w:rPr>
          <w:rFonts w:ascii="Arial" w:hAnsi="Arial" w:cs="Arial"/>
          <w:sz w:val="22"/>
          <w:szCs w:val="22"/>
        </w:rPr>
        <w:t>118 euro</w:t>
      </w:r>
      <w:r w:rsidR="00E33523" w:rsidRPr="00742C3D">
        <w:rPr>
          <w:rFonts w:ascii="Arial" w:hAnsi="Arial" w:cs="Arial"/>
          <w:sz w:val="22"/>
          <w:szCs w:val="22"/>
        </w:rPr>
        <w:t xml:space="preserve"> pro</w:t>
      </w:r>
      <w:r w:rsidR="00E33523">
        <w:rPr>
          <w:rFonts w:ascii="Arial" w:hAnsi="Arial" w:cs="Arial"/>
          <w:sz w:val="22"/>
          <w:szCs w:val="22"/>
        </w:rPr>
        <w:t>-capite l’anno, valore che aumenta gradualmente per i Comuni fra 10mila e 20mila abitanti (121 euro) e fra 20mila e 50mila (124 euro), mentre si ha un incremento più deciso oltre i</w:t>
      </w:r>
      <w:r w:rsidR="00E33523" w:rsidRPr="009F26C2">
        <w:rPr>
          <w:rFonts w:ascii="Arial" w:hAnsi="Arial" w:cs="Arial"/>
          <w:sz w:val="22"/>
          <w:szCs w:val="22"/>
        </w:rPr>
        <w:t xml:space="preserve"> 50</w:t>
      </w:r>
      <w:r w:rsidR="00E33523">
        <w:rPr>
          <w:rFonts w:ascii="Arial" w:hAnsi="Arial" w:cs="Arial"/>
          <w:sz w:val="22"/>
          <w:szCs w:val="22"/>
        </w:rPr>
        <w:t>mila</w:t>
      </w:r>
      <w:r w:rsidR="00E33523" w:rsidRPr="009F26C2">
        <w:rPr>
          <w:rFonts w:ascii="Arial" w:hAnsi="Arial" w:cs="Arial"/>
          <w:sz w:val="22"/>
          <w:szCs w:val="22"/>
        </w:rPr>
        <w:t xml:space="preserve"> abitanti </w:t>
      </w:r>
      <w:r w:rsidR="00E33523">
        <w:rPr>
          <w:rFonts w:ascii="Arial" w:hAnsi="Arial" w:cs="Arial"/>
          <w:sz w:val="22"/>
          <w:szCs w:val="22"/>
        </w:rPr>
        <w:t xml:space="preserve">(182 euro). </w:t>
      </w:r>
    </w:p>
    <w:p w14:paraId="2F963910" w14:textId="77777777" w:rsidR="00E33523" w:rsidRDefault="00E33523" w:rsidP="00E33523">
      <w:pPr>
        <w:spacing w:after="40"/>
        <w:jc w:val="both"/>
        <w:outlineLvl w:val="0"/>
        <w:rPr>
          <w:rFonts w:ascii="Arial" w:hAnsi="Arial" w:cs="Arial"/>
          <w:sz w:val="22"/>
          <w:szCs w:val="22"/>
        </w:rPr>
      </w:pPr>
      <w:r>
        <w:rPr>
          <w:rFonts w:ascii="Arial" w:hAnsi="Arial" w:cs="Arial"/>
          <w:sz w:val="22"/>
          <w:szCs w:val="22"/>
        </w:rPr>
        <w:t>I differenziali legati alla dimensione demografica sono più accentuati nelle aree del Nord e del Centro, mentre il Mezzogiorno è caratterizzato da una minore e più uniforme disponibilità di risorse</w:t>
      </w:r>
      <w:r w:rsidRPr="009518D9">
        <w:rPr>
          <w:rFonts w:ascii="Arial" w:hAnsi="Arial" w:cs="Arial"/>
          <w:sz w:val="22"/>
          <w:szCs w:val="22"/>
        </w:rPr>
        <w:t xml:space="preserve"> </w:t>
      </w:r>
      <w:r>
        <w:rPr>
          <w:rFonts w:ascii="Arial" w:hAnsi="Arial" w:cs="Arial"/>
          <w:sz w:val="22"/>
          <w:szCs w:val="22"/>
        </w:rPr>
        <w:t>per i servizi sociali. Infatti, mentre i Comuni più grandi del Centro e del Nord sono ben al di sopra del resto del Paese, quelli del Mezzogiorno spendono meno della media italiana e dei Comuni più piccoli del Nord.</w:t>
      </w:r>
    </w:p>
    <w:p w14:paraId="5B76189D" w14:textId="77777777" w:rsidR="000D5B04" w:rsidRDefault="000D5B04" w:rsidP="00CD298E">
      <w:pPr>
        <w:jc w:val="both"/>
        <w:outlineLvl w:val="0"/>
        <w:rPr>
          <w:rFonts w:ascii="Arial" w:hAnsi="Arial" w:cs="Arial"/>
          <w:sz w:val="22"/>
          <w:szCs w:val="22"/>
        </w:rPr>
      </w:pPr>
    </w:p>
    <w:p w14:paraId="3E21B7E1" w14:textId="6DA88568" w:rsidR="009F26C2" w:rsidRDefault="009F26C2" w:rsidP="009F26C2">
      <w:pPr>
        <w:tabs>
          <w:tab w:val="left" w:pos="4170"/>
        </w:tabs>
        <w:jc w:val="both"/>
        <w:outlineLvl w:val="0"/>
        <w:rPr>
          <w:rFonts w:ascii="Arial Narrow" w:hAnsi="Arial Narrow" w:cs="Arial"/>
          <w:color w:val="1F497D" w:themeColor="text2"/>
          <w:spacing w:val="-6"/>
          <w:sz w:val="22"/>
          <w:szCs w:val="22"/>
        </w:rPr>
      </w:pPr>
      <w:r w:rsidRPr="00E8714A">
        <w:rPr>
          <w:rFonts w:ascii="Arial Black" w:hAnsi="Arial Black" w:cs="Arial"/>
          <w:iCs/>
          <w:noProof/>
          <w:color w:val="1F497D" w:themeColor="text2"/>
          <w:spacing w:val="-6"/>
          <w:sz w:val="22"/>
          <w:szCs w:val="22"/>
        </w:rPr>
        <w:t xml:space="preserve">SPESA PER INTERVENTI E SERVIZI SOCIALI DEI COMUNI SINGOLI E ASSOCIATI PER </w:t>
      </w:r>
      <w:r w:rsidR="00744D24" w:rsidRPr="00E8714A">
        <w:rPr>
          <w:rFonts w:ascii="Arial Black" w:hAnsi="Arial Black" w:cs="Arial"/>
          <w:iCs/>
          <w:noProof/>
          <w:color w:val="1F497D" w:themeColor="text2"/>
          <w:spacing w:val="-6"/>
          <w:sz w:val="22"/>
          <w:szCs w:val="22"/>
        </w:rPr>
        <w:t>RIPARTIZIONE GEOGRAFICA E AMPIEZZA DEI COMUNI</w:t>
      </w:r>
      <w:r w:rsidRPr="00E8714A">
        <w:rPr>
          <w:rFonts w:ascii="Arial Black" w:hAnsi="Arial Black" w:cs="Arial"/>
          <w:iCs/>
          <w:noProof/>
          <w:color w:val="1F497D" w:themeColor="text2"/>
          <w:spacing w:val="-6"/>
          <w:sz w:val="22"/>
          <w:szCs w:val="22"/>
        </w:rPr>
        <w:t>.</w:t>
      </w:r>
      <w:r w:rsidRPr="00E8714A">
        <w:rPr>
          <w:rFonts w:ascii="Arial" w:hAnsi="Arial" w:cs="Arial"/>
          <w:b/>
          <w:color w:val="1F497D" w:themeColor="text2"/>
          <w:spacing w:val="-6"/>
          <w:sz w:val="26"/>
          <w:szCs w:val="26"/>
        </w:rPr>
        <w:t xml:space="preserve"> </w:t>
      </w:r>
      <w:r w:rsidRPr="00E8714A">
        <w:rPr>
          <w:rFonts w:ascii="Arial Narrow" w:hAnsi="Arial Narrow" w:cs="Arial"/>
          <w:color w:val="1F497D" w:themeColor="text2"/>
          <w:spacing w:val="-6"/>
          <w:sz w:val="22"/>
          <w:szCs w:val="22"/>
        </w:rPr>
        <w:t>Ann</w:t>
      </w:r>
      <w:r w:rsidR="00744D24" w:rsidRPr="00E8714A">
        <w:rPr>
          <w:rFonts w:ascii="Arial Narrow" w:hAnsi="Arial Narrow" w:cs="Arial"/>
          <w:color w:val="1F497D" w:themeColor="text2"/>
          <w:spacing w:val="-6"/>
          <w:sz w:val="22"/>
          <w:szCs w:val="22"/>
        </w:rPr>
        <w:t>o</w:t>
      </w:r>
      <w:r w:rsidRPr="00E8714A">
        <w:rPr>
          <w:rFonts w:ascii="Arial Narrow" w:hAnsi="Arial Narrow" w:cs="Arial"/>
          <w:color w:val="1F497D" w:themeColor="text2"/>
          <w:spacing w:val="-6"/>
          <w:sz w:val="22"/>
          <w:szCs w:val="22"/>
        </w:rPr>
        <w:t xml:space="preserve"> 202</w:t>
      </w:r>
      <w:r w:rsidR="00744D24" w:rsidRPr="00E8714A">
        <w:rPr>
          <w:rFonts w:ascii="Arial Narrow" w:hAnsi="Arial Narrow" w:cs="Arial"/>
          <w:color w:val="1F497D" w:themeColor="text2"/>
          <w:spacing w:val="-6"/>
          <w:sz w:val="22"/>
          <w:szCs w:val="22"/>
        </w:rPr>
        <w:t>1</w:t>
      </w:r>
      <w:r w:rsidRPr="00E8714A">
        <w:rPr>
          <w:rFonts w:ascii="Arial Narrow" w:hAnsi="Arial Narrow" w:cs="Arial"/>
          <w:color w:val="1F497D" w:themeColor="text2"/>
          <w:spacing w:val="-6"/>
          <w:sz w:val="22"/>
          <w:szCs w:val="22"/>
        </w:rPr>
        <w:t xml:space="preserve">. </w:t>
      </w:r>
      <w:r w:rsidR="005F54D5" w:rsidRPr="00E8714A">
        <w:rPr>
          <w:rFonts w:ascii="Arial Narrow" w:hAnsi="Arial Narrow" w:cs="Arial"/>
          <w:color w:val="1F497D" w:themeColor="text2"/>
          <w:spacing w:val="-6"/>
          <w:sz w:val="22"/>
          <w:szCs w:val="22"/>
        </w:rPr>
        <w:t>Valori in e</w:t>
      </w:r>
      <w:r w:rsidR="00744D24" w:rsidRPr="00E8714A">
        <w:rPr>
          <w:rFonts w:ascii="Arial Narrow" w:hAnsi="Arial Narrow" w:cs="Arial"/>
          <w:color w:val="1F497D" w:themeColor="text2"/>
          <w:spacing w:val="-6"/>
          <w:sz w:val="22"/>
          <w:szCs w:val="22"/>
        </w:rPr>
        <w:t>uro per abitante</w:t>
      </w:r>
    </w:p>
    <w:p w14:paraId="7512CC28" w14:textId="30A04194" w:rsidR="006610F2" w:rsidRDefault="006610F2" w:rsidP="009F26C2">
      <w:pPr>
        <w:tabs>
          <w:tab w:val="left" w:pos="4170"/>
        </w:tabs>
        <w:jc w:val="both"/>
        <w:outlineLvl w:val="0"/>
        <w:rPr>
          <w:rFonts w:ascii="Arial Narrow" w:hAnsi="Arial Narrow" w:cs="Arial"/>
          <w:color w:val="1F497D" w:themeColor="text2"/>
          <w:spacing w:val="-6"/>
          <w:sz w:val="22"/>
          <w:szCs w:val="22"/>
        </w:rPr>
      </w:pPr>
    </w:p>
    <w:p w14:paraId="0F00A668" w14:textId="77777777" w:rsidR="006610F2" w:rsidRDefault="006610F2" w:rsidP="009F26C2">
      <w:pPr>
        <w:tabs>
          <w:tab w:val="left" w:pos="4170"/>
        </w:tabs>
        <w:jc w:val="both"/>
        <w:outlineLvl w:val="0"/>
        <w:rPr>
          <w:rFonts w:ascii="Arial Narrow" w:hAnsi="Arial Narrow" w:cs="Arial"/>
          <w:color w:val="1F497D" w:themeColor="text2"/>
          <w:spacing w:val="-6"/>
          <w:sz w:val="22"/>
          <w:szCs w:val="22"/>
        </w:rPr>
      </w:pPr>
    </w:p>
    <w:p w14:paraId="72D9996E" w14:textId="77777777" w:rsidR="00156D6F" w:rsidRPr="00E8714A" w:rsidRDefault="00156D6F" w:rsidP="009F26C2">
      <w:pPr>
        <w:tabs>
          <w:tab w:val="left" w:pos="4170"/>
        </w:tabs>
        <w:jc w:val="both"/>
        <w:outlineLvl w:val="0"/>
        <w:rPr>
          <w:rFonts w:ascii="Arial Narrow" w:hAnsi="Arial Narrow" w:cs="Arial"/>
          <w:color w:val="1F497D" w:themeColor="text2"/>
          <w:spacing w:val="-6"/>
          <w:sz w:val="10"/>
          <w:szCs w:val="22"/>
        </w:rPr>
      </w:pPr>
    </w:p>
    <w:tbl>
      <w:tblPr>
        <w:tblW w:w="9923" w:type="dxa"/>
        <w:tblBorders>
          <w:top w:val="single" w:sz="4" w:space="0" w:color="FFFFFF"/>
          <w:bottom w:val="single" w:sz="4" w:space="0" w:color="FFFFFF"/>
          <w:insideH w:val="single" w:sz="4" w:space="0" w:color="FFFFFF"/>
        </w:tblBorders>
        <w:tblCellMar>
          <w:left w:w="70" w:type="dxa"/>
          <w:right w:w="70" w:type="dxa"/>
        </w:tblCellMar>
        <w:tblLook w:val="04A0" w:firstRow="1" w:lastRow="0" w:firstColumn="1" w:lastColumn="0" w:noHBand="0" w:noVBand="1"/>
      </w:tblPr>
      <w:tblGrid>
        <w:gridCol w:w="1508"/>
        <w:gridCol w:w="1743"/>
        <w:gridCol w:w="1866"/>
        <w:gridCol w:w="1743"/>
        <w:gridCol w:w="1552"/>
        <w:gridCol w:w="1511"/>
      </w:tblGrid>
      <w:tr w:rsidR="00156D6F" w:rsidRPr="00D86B8E" w14:paraId="206A5BD8" w14:textId="77777777" w:rsidTr="00156D6F">
        <w:trPr>
          <w:trHeight w:val="567"/>
        </w:trPr>
        <w:tc>
          <w:tcPr>
            <w:tcW w:w="1508" w:type="dxa"/>
            <w:shd w:val="clear" w:color="000000" w:fill="1F4E78"/>
            <w:vAlign w:val="center"/>
            <w:hideMark/>
          </w:tcPr>
          <w:p w14:paraId="22040E8F" w14:textId="77777777" w:rsidR="00156D6F" w:rsidRPr="004276E2" w:rsidRDefault="00156D6F" w:rsidP="00EE139B">
            <w:pPr>
              <w:jc w:val="center"/>
              <w:rPr>
                <w:rFonts w:ascii="Arial Narrow" w:hAnsi="Arial Narrow" w:cs="Arial"/>
                <w:b/>
                <w:color w:val="FFFFFF"/>
                <w:sz w:val="18"/>
                <w:szCs w:val="18"/>
              </w:rPr>
            </w:pPr>
            <w:r w:rsidRPr="004276E2">
              <w:rPr>
                <w:rFonts w:ascii="Arial Narrow" w:hAnsi="Arial Narrow" w:cs="Arial"/>
                <w:b/>
                <w:color w:val="FFFFFF"/>
                <w:sz w:val="18"/>
                <w:szCs w:val="18"/>
              </w:rPr>
              <w:t>RIPARTIZIONI</w:t>
            </w:r>
          </w:p>
        </w:tc>
        <w:tc>
          <w:tcPr>
            <w:tcW w:w="1743" w:type="dxa"/>
            <w:shd w:val="clear" w:color="000000" w:fill="1F4E78"/>
            <w:vAlign w:val="center"/>
            <w:hideMark/>
          </w:tcPr>
          <w:p w14:paraId="10AF4B82" w14:textId="77777777" w:rsidR="00156D6F" w:rsidRPr="004276E2" w:rsidRDefault="00156D6F" w:rsidP="00EE139B">
            <w:pPr>
              <w:jc w:val="right"/>
              <w:rPr>
                <w:rFonts w:ascii="Arial Narrow" w:hAnsi="Arial Narrow" w:cs="Arial"/>
                <w:b/>
                <w:color w:val="FFFFFF"/>
                <w:sz w:val="18"/>
                <w:szCs w:val="18"/>
              </w:rPr>
            </w:pPr>
            <w:r w:rsidRPr="004276E2">
              <w:rPr>
                <w:rFonts w:ascii="Arial Narrow" w:hAnsi="Arial Narrow" w:cs="Arial"/>
                <w:b/>
                <w:color w:val="FFFFFF"/>
                <w:sz w:val="18"/>
                <w:szCs w:val="18"/>
              </w:rPr>
              <w:t>fino a 10.000 abitanti</w:t>
            </w:r>
          </w:p>
        </w:tc>
        <w:tc>
          <w:tcPr>
            <w:tcW w:w="1866" w:type="dxa"/>
            <w:shd w:val="clear" w:color="000000" w:fill="1F4E78"/>
            <w:vAlign w:val="center"/>
            <w:hideMark/>
          </w:tcPr>
          <w:p w14:paraId="2FF07F9D" w14:textId="77777777" w:rsidR="00156D6F" w:rsidRPr="004276E2" w:rsidRDefault="00156D6F" w:rsidP="00EE139B">
            <w:pPr>
              <w:jc w:val="center"/>
              <w:rPr>
                <w:rFonts w:ascii="Arial Narrow" w:hAnsi="Arial Narrow" w:cs="Arial"/>
                <w:b/>
                <w:color w:val="FFFFFF"/>
                <w:sz w:val="18"/>
                <w:szCs w:val="18"/>
              </w:rPr>
            </w:pPr>
            <w:r w:rsidRPr="004276E2">
              <w:rPr>
                <w:rFonts w:ascii="Arial Narrow" w:hAnsi="Arial Narrow" w:cs="Arial"/>
                <w:b/>
                <w:color w:val="FFFFFF"/>
                <w:sz w:val="18"/>
                <w:szCs w:val="18"/>
              </w:rPr>
              <w:t>10.001-20.000 abitanti</w:t>
            </w:r>
          </w:p>
        </w:tc>
        <w:tc>
          <w:tcPr>
            <w:tcW w:w="1743" w:type="dxa"/>
            <w:shd w:val="clear" w:color="000000" w:fill="1F4E78"/>
            <w:vAlign w:val="center"/>
            <w:hideMark/>
          </w:tcPr>
          <w:p w14:paraId="385C6528" w14:textId="77777777" w:rsidR="00156D6F" w:rsidRPr="004276E2" w:rsidRDefault="00156D6F" w:rsidP="00EE139B">
            <w:pPr>
              <w:jc w:val="right"/>
              <w:rPr>
                <w:rFonts w:ascii="Arial Narrow" w:hAnsi="Arial Narrow" w:cs="Arial"/>
                <w:b/>
                <w:color w:val="FFFFFF"/>
                <w:sz w:val="18"/>
                <w:szCs w:val="18"/>
              </w:rPr>
            </w:pPr>
            <w:r w:rsidRPr="004276E2">
              <w:rPr>
                <w:rFonts w:ascii="Arial Narrow" w:hAnsi="Arial Narrow" w:cs="Arial"/>
                <w:b/>
                <w:color w:val="FFFFFF"/>
                <w:sz w:val="18"/>
                <w:szCs w:val="18"/>
              </w:rPr>
              <w:t>20.001-50.000 abitanti</w:t>
            </w:r>
          </w:p>
        </w:tc>
        <w:tc>
          <w:tcPr>
            <w:tcW w:w="1552" w:type="dxa"/>
            <w:shd w:val="clear" w:color="000000" w:fill="1F4E78"/>
            <w:vAlign w:val="center"/>
            <w:hideMark/>
          </w:tcPr>
          <w:p w14:paraId="4BA16F12" w14:textId="77777777" w:rsidR="00156D6F" w:rsidRPr="004276E2" w:rsidRDefault="00156D6F" w:rsidP="00EE139B">
            <w:pPr>
              <w:jc w:val="center"/>
              <w:rPr>
                <w:rFonts w:ascii="Arial Narrow" w:hAnsi="Arial Narrow" w:cs="Arial"/>
                <w:b/>
                <w:color w:val="FFFFFF"/>
                <w:sz w:val="18"/>
                <w:szCs w:val="18"/>
              </w:rPr>
            </w:pPr>
            <w:r w:rsidRPr="004276E2">
              <w:rPr>
                <w:rFonts w:ascii="Arial Narrow" w:hAnsi="Arial Narrow" w:cs="Arial"/>
                <w:b/>
                <w:color w:val="FFFFFF"/>
                <w:sz w:val="18"/>
                <w:szCs w:val="18"/>
              </w:rPr>
              <w:t>oltre 50.000 abitanti</w:t>
            </w:r>
          </w:p>
        </w:tc>
        <w:tc>
          <w:tcPr>
            <w:tcW w:w="1511" w:type="dxa"/>
            <w:shd w:val="clear" w:color="000000" w:fill="1F4E78"/>
            <w:vAlign w:val="center"/>
            <w:hideMark/>
          </w:tcPr>
          <w:p w14:paraId="0B2EE095" w14:textId="77777777" w:rsidR="00156D6F" w:rsidRPr="004276E2" w:rsidRDefault="00156D6F" w:rsidP="00EE139B">
            <w:pPr>
              <w:jc w:val="center"/>
              <w:rPr>
                <w:rFonts w:ascii="Arial Narrow" w:hAnsi="Arial Narrow" w:cs="Arial"/>
                <w:b/>
                <w:color w:val="FFFFFF"/>
                <w:sz w:val="18"/>
                <w:szCs w:val="18"/>
              </w:rPr>
            </w:pPr>
            <w:r w:rsidRPr="004276E2">
              <w:rPr>
                <w:rFonts w:ascii="Arial Narrow" w:hAnsi="Arial Narrow" w:cs="Arial"/>
                <w:b/>
                <w:color w:val="FFFFFF"/>
                <w:sz w:val="18"/>
                <w:szCs w:val="18"/>
              </w:rPr>
              <w:t>Totale</w:t>
            </w:r>
          </w:p>
        </w:tc>
      </w:tr>
      <w:tr w:rsidR="00156D6F" w:rsidRPr="00D86B8E" w14:paraId="70867531" w14:textId="77777777" w:rsidTr="00156D6F">
        <w:trPr>
          <w:trHeight w:val="567"/>
        </w:trPr>
        <w:tc>
          <w:tcPr>
            <w:tcW w:w="1508" w:type="dxa"/>
            <w:shd w:val="clear" w:color="auto" w:fill="D9D9D9" w:themeFill="background1" w:themeFillShade="D9"/>
            <w:noWrap/>
            <w:vAlign w:val="center"/>
            <w:hideMark/>
          </w:tcPr>
          <w:p w14:paraId="2B522B49" w14:textId="77777777" w:rsidR="00156D6F" w:rsidRPr="004276E2" w:rsidRDefault="00156D6F" w:rsidP="00EE139B">
            <w:pPr>
              <w:rPr>
                <w:rFonts w:ascii="Arial Narrow" w:hAnsi="Arial Narrow" w:cs="Arial"/>
                <w:b/>
                <w:bCs/>
                <w:color w:val="1F4E78"/>
                <w:sz w:val="18"/>
                <w:szCs w:val="18"/>
              </w:rPr>
            </w:pPr>
            <w:r w:rsidRPr="004276E2">
              <w:rPr>
                <w:rFonts w:ascii="Arial Narrow" w:hAnsi="Arial Narrow" w:cs="Arial"/>
                <w:b/>
                <w:bCs/>
                <w:color w:val="1F4E78"/>
                <w:sz w:val="18"/>
                <w:szCs w:val="18"/>
              </w:rPr>
              <w:t>Nord</w:t>
            </w:r>
          </w:p>
        </w:tc>
        <w:tc>
          <w:tcPr>
            <w:tcW w:w="1743" w:type="dxa"/>
            <w:shd w:val="clear" w:color="auto" w:fill="auto"/>
            <w:vAlign w:val="center"/>
            <w:hideMark/>
          </w:tcPr>
          <w:p w14:paraId="0A5363BE" w14:textId="77777777" w:rsidR="00156D6F" w:rsidRPr="004276E2" w:rsidRDefault="00156D6F" w:rsidP="00EE139B">
            <w:pPr>
              <w:jc w:val="center"/>
              <w:rPr>
                <w:rFonts w:ascii="Arial Narrow" w:hAnsi="Arial Narrow" w:cs="Arial"/>
                <w:bCs/>
                <w:sz w:val="18"/>
                <w:szCs w:val="18"/>
              </w:rPr>
            </w:pPr>
            <w:r w:rsidRPr="004276E2">
              <w:rPr>
                <w:rFonts w:ascii="Arial Narrow" w:hAnsi="Arial Narrow" w:cs="Arial"/>
                <w:bCs/>
                <w:sz w:val="18"/>
                <w:szCs w:val="18"/>
              </w:rPr>
              <w:t xml:space="preserve">139 </w:t>
            </w:r>
          </w:p>
        </w:tc>
        <w:tc>
          <w:tcPr>
            <w:tcW w:w="1866" w:type="dxa"/>
            <w:shd w:val="clear" w:color="auto" w:fill="D9D9D9" w:themeFill="background1" w:themeFillShade="D9"/>
            <w:vAlign w:val="center"/>
            <w:hideMark/>
          </w:tcPr>
          <w:p w14:paraId="3C2629CB" w14:textId="77777777" w:rsidR="00156D6F" w:rsidRPr="004276E2" w:rsidRDefault="00156D6F" w:rsidP="00EE139B">
            <w:pPr>
              <w:jc w:val="center"/>
              <w:rPr>
                <w:rFonts w:ascii="Arial Narrow" w:hAnsi="Arial Narrow" w:cs="Arial"/>
                <w:bCs/>
                <w:sz w:val="18"/>
                <w:szCs w:val="18"/>
              </w:rPr>
            </w:pPr>
            <w:r w:rsidRPr="004276E2">
              <w:rPr>
                <w:rFonts w:ascii="Arial Narrow" w:hAnsi="Arial Narrow" w:cs="Arial"/>
                <w:bCs/>
                <w:sz w:val="18"/>
                <w:szCs w:val="18"/>
              </w:rPr>
              <w:t xml:space="preserve">152 </w:t>
            </w:r>
          </w:p>
        </w:tc>
        <w:tc>
          <w:tcPr>
            <w:tcW w:w="1743" w:type="dxa"/>
            <w:shd w:val="clear" w:color="auto" w:fill="auto"/>
            <w:vAlign w:val="center"/>
            <w:hideMark/>
          </w:tcPr>
          <w:p w14:paraId="1F1E2C50" w14:textId="77777777" w:rsidR="00156D6F" w:rsidRPr="004276E2" w:rsidRDefault="00156D6F" w:rsidP="00EE139B">
            <w:pPr>
              <w:jc w:val="center"/>
              <w:rPr>
                <w:rFonts w:ascii="Arial Narrow" w:hAnsi="Arial Narrow" w:cs="Arial"/>
                <w:bCs/>
                <w:sz w:val="18"/>
                <w:szCs w:val="18"/>
              </w:rPr>
            </w:pPr>
            <w:r w:rsidRPr="004276E2">
              <w:rPr>
                <w:rFonts w:ascii="Arial Narrow" w:hAnsi="Arial Narrow" w:cs="Arial"/>
                <w:bCs/>
                <w:sz w:val="18"/>
                <w:szCs w:val="18"/>
              </w:rPr>
              <w:t xml:space="preserve">155 </w:t>
            </w:r>
          </w:p>
        </w:tc>
        <w:tc>
          <w:tcPr>
            <w:tcW w:w="1552" w:type="dxa"/>
            <w:shd w:val="clear" w:color="auto" w:fill="D9D9D9" w:themeFill="background1" w:themeFillShade="D9"/>
            <w:vAlign w:val="center"/>
            <w:hideMark/>
          </w:tcPr>
          <w:p w14:paraId="6396AB30" w14:textId="77777777" w:rsidR="00156D6F" w:rsidRPr="004276E2" w:rsidRDefault="00156D6F" w:rsidP="00EE139B">
            <w:pPr>
              <w:jc w:val="center"/>
              <w:rPr>
                <w:rFonts w:ascii="Arial Narrow" w:hAnsi="Arial Narrow" w:cs="Arial"/>
                <w:bCs/>
                <w:sz w:val="18"/>
                <w:szCs w:val="18"/>
              </w:rPr>
            </w:pPr>
            <w:r w:rsidRPr="004276E2">
              <w:rPr>
                <w:rFonts w:ascii="Arial Narrow" w:hAnsi="Arial Narrow" w:cs="Arial"/>
                <w:bCs/>
                <w:sz w:val="18"/>
                <w:szCs w:val="18"/>
              </w:rPr>
              <w:t xml:space="preserve">240 </w:t>
            </w:r>
          </w:p>
        </w:tc>
        <w:tc>
          <w:tcPr>
            <w:tcW w:w="1511" w:type="dxa"/>
            <w:shd w:val="clear" w:color="auto" w:fill="auto"/>
            <w:vAlign w:val="center"/>
            <w:hideMark/>
          </w:tcPr>
          <w:p w14:paraId="26323E22" w14:textId="77777777" w:rsidR="00156D6F" w:rsidRPr="004276E2" w:rsidRDefault="00156D6F" w:rsidP="00EE139B">
            <w:pPr>
              <w:jc w:val="center"/>
              <w:rPr>
                <w:rFonts w:ascii="Arial Narrow" w:hAnsi="Arial Narrow" w:cs="Arial"/>
                <w:bCs/>
                <w:sz w:val="18"/>
                <w:szCs w:val="18"/>
              </w:rPr>
            </w:pPr>
            <w:r w:rsidRPr="004276E2">
              <w:rPr>
                <w:rFonts w:ascii="Arial Narrow" w:hAnsi="Arial Narrow" w:cs="Arial"/>
                <w:bCs/>
                <w:sz w:val="18"/>
                <w:szCs w:val="18"/>
              </w:rPr>
              <w:t xml:space="preserve">174 </w:t>
            </w:r>
          </w:p>
        </w:tc>
      </w:tr>
      <w:tr w:rsidR="00156D6F" w:rsidRPr="00D86B8E" w14:paraId="3F165477" w14:textId="77777777" w:rsidTr="00156D6F">
        <w:trPr>
          <w:trHeight w:val="567"/>
        </w:trPr>
        <w:tc>
          <w:tcPr>
            <w:tcW w:w="1508" w:type="dxa"/>
            <w:shd w:val="clear" w:color="auto" w:fill="D9D9D9" w:themeFill="background1" w:themeFillShade="D9"/>
            <w:noWrap/>
            <w:vAlign w:val="center"/>
            <w:hideMark/>
          </w:tcPr>
          <w:p w14:paraId="714AC6A5" w14:textId="77777777" w:rsidR="00156D6F" w:rsidRPr="004276E2" w:rsidRDefault="00156D6F" w:rsidP="00EE139B">
            <w:pPr>
              <w:rPr>
                <w:rFonts w:ascii="Arial Narrow" w:hAnsi="Arial Narrow" w:cs="Arial"/>
                <w:b/>
                <w:bCs/>
                <w:color w:val="1F4E78"/>
                <w:sz w:val="18"/>
                <w:szCs w:val="18"/>
              </w:rPr>
            </w:pPr>
            <w:r w:rsidRPr="004276E2">
              <w:rPr>
                <w:rFonts w:ascii="Arial Narrow" w:hAnsi="Arial Narrow" w:cs="Arial"/>
                <w:b/>
                <w:bCs/>
                <w:color w:val="1F4E78"/>
                <w:sz w:val="18"/>
                <w:szCs w:val="18"/>
              </w:rPr>
              <w:t>Centro</w:t>
            </w:r>
          </w:p>
        </w:tc>
        <w:tc>
          <w:tcPr>
            <w:tcW w:w="1743" w:type="dxa"/>
            <w:shd w:val="clear" w:color="auto" w:fill="auto"/>
            <w:vAlign w:val="center"/>
            <w:hideMark/>
          </w:tcPr>
          <w:p w14:paraId="5CB38CDE" w14:textId="77777777" w:rsidR="00156D6F" w:rsidRPr="004276E2" w:rsidRDefault="00156D6F" w:rsidP="00EE139B">
            <w:pPr>
              <w:jc w:val="center"/>
              <w:rPr>
                <w:rFonts w:ascii="Arial Narrow" w:hAnsi="Arial Narrow" w:cs="Arial"/>
                <w:bCs/>
                <w:sz w:val="18"/>
                <w:szCs w:val="18"/>
              </w:rPr>
            </w:pPr>
            <w:r w:rsidRPr="004276E2">
              <w:rPr>
                <w:rFonts w:ascii="Arial Narrow" w:hAnsi="Arial Narrow" w:cs="Arial"/>
                <w:bCs/>
                <w:sz w:val="18"/>
                <w:szCs w:val="18"/>
              </w:rPr>
              <w:t xml:space="preserve">99 </w:t>
            </w:r>
          </w:p>
        </w:tc>
        <w:tc>
          <w:tcPr>
            <w:tcW w:w="1866" w:type="dxa"/>
            <w:shd w:val="clear" w:color="auto" w:fill="D9D9D9" w:themeFill="background1" w:themeFillShade="D9"/>
            <w:vAlign w:val="center"/>
            <w:hideMark/>
          </w:tcPr>
          <w:p w14:paraId="6F301443" w14:textId="77777777" w:rsidR="00156D6F" w:rsidRPr="004276E2" w:rsidRDefault="00156D6F" w:rsidP="00EE139B">
            <w:pPr>
              <w:jc w:val="center"/>
              <w:rPr>
                <w:rFonts w:ascii="Arial Narrow" w:hAnsi="Arial Narrow" w:cs="Arial"/>
                <w:bCs/>
                <w:sz w:val="18"/>
                <w:szCs w:val="18"/>
              </w:rPr>
            </w:pPr>
            <w:r w:rsidRPr="004276E2">
              <w:rPr>
                <w:rFonts w:ascii="Arial Narrow" w:hAnsi="Arial Narrow" w:cs="Arial"/>
                <w:bCs/>
                <w:sz w:val="18"/>
                <w:szCs w:val="18"/>
              </w:rPr>
              <w:t xml:space="preserve">118 </w:t>
            </w:r>
          </w:p>
        </w:tc>
        <w:tc>
          <w:tcPr>
            <w:tcW w:w="1743" w:type="dxa"/>
            <w:shd w:val="clear" w:color="auto" w:fill="auto"/>
            <w:vAlign w:val="center"/>
            <w:hideMark/>
          </w:tcPr>
          <w:p w14:paraId="22863299" w14:textId="77777777" w:rsidR="00156D6F" w:rsidRPr="004276E2" w:rsidRDefault="00156D6F" w:rsidP="00EE139B">
            <w:pPr>
              <w:jc w:val="center"/>
              <w:rPr>
                <w:rFonts w:ascii="Arial Narrow" w:hAnsi="Arial Narrow" w:cs="Arial"/>
                <w:bCs/>
                <w:sz w:val="18"/>
                <w:szCs w:val="18"/>
              </w:rPr>
            </w:pPr>
            <w:r w:rsidRPr="004276E2">
              <w:rPr>
                <w:rFonts w:ascii="Arial Narrow" w:hAnsi="Arial Narrow" w:cs="Arial"/>
                <w:bCs/>
                <w:sz w:val="18"/>
                <w:szCs w:val="18"/>
              </w:rPr>
              <w:t xml:space="preserve">134 </w:t>
            </w:r>
          </w:p>
        </w:tc>
        <w:tc>
          <w:tcPr>
            <w:tcW w:w="1552" w:type="dxa"/>
            <w:shd w:val="clear" w:color="auto" w:fill="D9D9D9" w:themeFill="background1" w:themeFillShade="D9"/>
            <w:vAlign w:val="center"/>
            <w:hideMark/>
          </w:tcPr>
          <w:p w14:paraId="114FCC8F" w14:textId="77777777" w:rsidR="00156D6F" w:rsidRPr="004276E2" w:rsidRDefault="00156D6F" w:rsidP="00EE139B">
            <w:pPr>
              <w:jc w:val="center"/>
              <w:rPr>
                <w:rFonts w:ascii="Arial Narrow" w:hAnsi="Arial Narrow" w:cs="Arial"/>
                <w:bCs/>
                <w:sz w:val="18"/>
                <w:szCs w:val="18"/>
              </w:rPr>
            </w:pPr>
            <w:r w:rsidRPr="004276E2">
              <w:rPr>
                <w:rFonts w:ascii="Arial Narrow" w:hAnsi="Arial Narrow" w:cs="Arial"/>
                <w:bCs/>
                <w:sz w:val="18"/>
                <w:szCs w:val="18"/>
              </w:rPr>
              <w:t xml:space="preserve">191 </w:t>
            </w:r>
          </w:p>
        </w:tc>
        <w:tc>
          <w:tcPr>
            <w:tcW w:w="1511" w:type="dxa"/>
            <w:shd w:val="clear" w:color="auto" w:fill="auto"/>
            <w:vAlign w:val="center"/>
            <w:hideMark/>
          </w:tcPr>
          <w:p w14:paraId="3D674D89" w14:textId="1F5C9AA8" w:rsidR="00156D6F" w:rsidRPr="004276E2" w:rsidRDefault="00156D6F" w:rsidP="00B109D6">
            <w:pPr>
              <w:jc w:val="center"/>
              <w:rPr>
                <w:rFonts w:ascii="Arial Narrow" w:hAnsi="Arial Narrow" w:cs="Arial"/>
                <w:bCs/>
                <w:sz w:val="18"/>
                <w:szCs w:val="18"/>
              </w:rPr>
            </w:pPr>
            <w:r w:rsidRPr="004276E2">
              <w:rPr>
                <w:rFonts w:ascii="Arial Narrow" w:hAnsi="Arial Narrow" w:cs="Arial"/>
                <w:bCs/>
                <w:sz w:val="18"/>
                <w:szCs w:val="18"/>
              </w:rPr>
              <w:t>15</w:t>
            </w:r>
            <w:r w:rsidR="00B109D6">
              <w:rPr>
                <w:rFonts w:ascii="Arial Narrow" w:hAnsi="Arial Narrow" w:cs="Arial"/>
                <w:bCs/>
                <w:sz w:val="18"/>
                <w:szCs w:val="18"/>
              </w:rPr>
              <w:t>1</w:t>
            </w:r>
            <w:r w:rsidRPr="004276E2">
              <w:rPr>
                <w:rFonts w:ascii="Arial Narrow" w:hAnsi="Arial Narrow" w:cs="Arial"/>
                <w:bCs/>
                <w:sz w:val="18"/>
                <w:szCs w:val="18"/>
              </w:rPr>
              <w:t xml:space="preserve"> </w:t>
            </w:r>
          </w:p>
        </w:tc>
      </w:tr>
      <w:tr w:rsidR="00156D6F" w:rsidRPr="00D86B8E" w14:paraId="19FCC667" w14:textId="77777777" w:rsidTr="00156D6F">
        <w:trPr>
          <w:trHeight w:val="567"/>
        </w:trPr>
        <w:tc>
          <w:tcPr>
            <w:tcW w:w="1508" w:type="dxa"/>
            <w:shd w:val="clear" w:color="auto" w:fill="D9D9D9" w:themeFill="background1" w:themeFillShade="D9"/>
            <w:noWrap/>
            <w:vAlign w:val="center"/>
            <w:hideMark/>
          </w:tcPr>
          <w:p w14:paraId="56B32EF3" w14:textId="77777777" w:rsidR="00156D6F" w:rsidRPr="004276E2" w:rsidRDefault="00156D6F" w:rsidP="00EE139B">
            <w:pPr>
              <w:rPr>
                <w:rFonts w:ascii="Arial Narrow" w:hAnsi="Arial Narrow" w:cs="Arial"/>
                <w:b/>
                <w:bCs/>
                <w:color w:val="1F4E78"/>
                <w:sz w:val="18"/>
                <w:szCs w:val="18"/>
              </w:rPr>
            </w:pPr>
            <w:r w:rsidRPr="004276E2">
              <w:rPr>
                <w:rFonts w:ascii="Arial Narrow" w:hAnsi="Arial Narrow" w:cs="Arial"/>
                <w:b/>
                <w:bCs/>
                <w:color w:val="1F4E78"/>
                <w:sz w:val="18"/>
                <w:szCs w:val="18"/>
              </w:rPr>
              <w:t xml:space="preserve">Mezzogiorno </w:t>
            </w:r>
          </w:p>
        </w:tc>
        <w:tc>
          <w:tcPr>
            <w:tcW w:w="1743" w:type="dxa"/>
            <w:shd w:val="clear" w:color="auto" w:fill="auto"/>
            <w:vAlign w:val="center"/>
            <w:hideMark/>
          </w:tcPr>
          <w:p w14:paraId="331CF253" w14:textId="77777777" w:rsidR="00156D6F" w:rsidRPr="004276E2" w:rsidRDefault="00156D6F" w:rsidP="00EE139B">
            <w:pPr>
              <w:jc w:val="center"/>
              <w:rPr>
                <w:rFonts w:ascii="Arial Narrow" w:hAnsi="Arial Narrow" w:cs="Arial"/>
                <w:bCs/>
                <w:sz w:val="18"/>
                <w:szCs w:val="18"/>
              </w:rPr>
            </w:pPr>
            <w:r w:rsidRPr="004276E2">
              <w:rPr>
                <w:rFonts w:ascii="Arial Narrow" w:hAnsi="Arial Narrow" w:cs="Arial"/>
                <w:bCs/>
                <w:sz w:val="18"/>
                <w:szCs w:val="18"/>
              </w:rPr>
              <w:t xml:space="preserve">88 </w:t>
            </w:r>
          </w:p>
        </w:tc>
        <w:tc>
          <w:tcPr>
            <w:tcW w:w="1866" w:type="dxa"/>
            <w:shd w:val="clear" w:color="auto" w:fill="D9D9D9" w:themeFill="background1" w:themeFillShade="D9"/>
            <w:vAlign w:val="center"/>
            <w:hideMark/>
          </w:tcPr>
          <w:p w14:paraId="78893004" w14:textId="77777777" w:rsidR="00156D6F" w:rsidRPr="004276E2" w:rsidRDefault="00156D6F" w:rsidP="00EE139B">
            <w:pPr>
              <w:jc w:val="center"/>
              <w:rPr>
                <w:rFonts w:ascii="Arial Narrow" w:hAnsi="Arial Narrow" w:cs="Arial"/>
                <w:bCs/>
                <w:sz w:val="18"/>
                <w:szCs w:val="18"/>
              </w:rPr>
            </w:pPr>
            <w:r w:rsidRPr="004276E2">
              <w:rPr>
                <w:rFonts w:ascii="Arial Narrow" w:hAnsi="Arial Narrow" w:cs="Arial"/>
                <w:bCs/>
                <w:sz w:val="18"/>
                <w:szCs w:val="18"/>
              </w:rPr>
              <w:t xml:space="preserve">76 </w:t>
            </w:r>
          </w:p>
        </w:tc>
        <w:tc>
          <w:tcPr>
            <w:tcW w:w="1743" w:type="dxa"/>
            <w:shd w:val="clear" w:color="auto" w:fill="auto"/>
            <w:vAlign w:val="center"/>
            <w:hideMark/>
          </w:tcPr>
          <w:p w14:paraId="42040FCD" w14:textId="77777777" w:rsidR="00156D6F" w:rsidRPr="004276E2" w:rsidRDefault="00156D6F" w:rsidP="00EE139B">
            <w:pPr>
              <w:jc w:val="center"/>
              <w:rPr>
                <w:rFonts w:ascii="Arial Narrow" w:hAnsi="Arial Narrow" w:cs="Arial"/>
                <w:bCs/>
                <w:sz w:val="18"/>
                <w:szCs w:val="18"/>
              </w:rPr>
            </w:pPr>
            <w:r w:rsidRPr="004276E2">
              <w:rPr>
                <w:rFonts w:ascii="Arial Narrow" w:hAnsi="Arial Narrow" w:cs="Arial"/>
                <w:bCs/>
                <w:sz w:val="18"/>
                <w:szCs w:val="18"/>
              </w:rPr>
              <w:t xml:space="preserve">87 </w:t>
            </w:r>
          </w:p>
        </w:tc>
        <w:tc>
          <w:tcPr>
            <w:tcW w:w="1552" w:type="dxa"/>
            <w:shd w:val="clear" w:color="auto" w:fill="D9D9D9" w:themeFill="background1" w:themeFillShade="D9"/>
            <w:vAlign w:val="center"/>
            <w:hideMark/>
          </w:tcPr>
          <w:p w14:paraId="30DEF92D" w14:textId="77777777" w:rsidR="00156D6F" w:rsidRPr="004276E2" w:rsidRDefault="00156D6F" w:rsidP="00EE139B">
            <w:pPr>
              <w:jc w:val="center"/>
              <w:rPr>
                <w:rFonts w:ascii="Arial Narrow" w:hAnsi="Arial Narrow" w:cs="Arial"/>
                <w:bCs/>
                <w:sz w:val="18"/>
                <w:szCs w:val="18"/>
              </w:rPr>
            </w:pPr>
            <w:r w:rsidRPr="004276E2">
              <w:rPr>
                <w:rFonts w:ascii="Arial Narrow" w:hAnsi="Arial Narrow" w:cs="Arial"/>
                <w:bCs/>
                <w:sz w:val="18"/>
                <w:szCs w:val="18"/>
              </w:rPr>
              <w:t xml:space="preserve">106 </w:t>
            </w:r>
          </w:p>
        </w:tc>
        <w:tc>
          <w:tcPr>
            <w:tcW w:w="1511" w:type="dxa"/>
            <w:shd w:val="clear" w:color="auto" w:fill="auto"/>
            <w:vAlign w:val="center"/>
            <w:hideMark/>
          </w:tcPr>
          <w:p w14:paraId="7509F4AF" w14:textId="77777777" w:rsidR="00156D6F" w:rsidRPr="004276E2" w:rsidRDefault="00156D6F" w:rsidP="00EE139B">
            <w:pPr>
              <w:jc w:val="center"/>
              <w:rPr>
                <w:rFonts w:ascii="Arial Narrow" w:hAnsi="Arial Narrow" w:cs="Arial"/>
                <w:bCs/>
                <w:sz w:val="18"/>
                <w:szCs w:val="18"/>
              </w:rPr>
            </w:pPr>
            <w:r w:rsidRPr="004276E2">
              <w:rPr>
                <w:rFonts w:ascii="Arial Narrow" w:hAnsi="Arial Narrow" w:cs="Arial"/>
                <w:bCs/>
                <w:sz w:val="18"/>
                <w:szCs w:val="18"/>
              </w:rPr>
              <w:t xml:space="preserve">92 </w:t>
            </w:r>
          </w:p>
        </w:tc>
      </w:tr>
      <w:tr w:rsidR="00156D6F" w:rsidRPr="00D86B8E" w14:paraId="4698C7E0" w14:textId="77777777" w:rsidTr="00156D6F">
        <w:trPr>
          <w:trHeight w:val="567"/>
        </w:trPr>
        <w:tc>
          <w:tcPr>
            <w:tcW w:w="1508" w:type="dxa"/>
            <w:shd w:val="clear" w:color="000000" w:fill="1F4E78"/>
            <w:noWrap/>
            <w:vAlign w:val="center"/>
            <w:hideMark/>
          </w:tcPr>
          <w:p w14:paraId="11541565" w14:textId="77777777" w:rsidR="00156D6F" w:rsidRPr="004276E2" w:rsidRDefault="00156D6F" w:rsidP="00EE139B">
            <w:pPr>
              <w:rPr>
                <w:rFonts w:ascii="Arial Narrow" w:hAnsi="Arial Narrow" w:cs="Arial"/>
                <w:b/>
                <w:bCs/>
                <w:color w:val="FFFFFF"/>
                <w:sz w:val="18"/>
                <w:szCs w:val="18"/>
              </w:rPr>
            </w:pPr>
            <w:r w:rsidRPr="004276E2">
              <w:rPr>
                <w:rFonts w:ascii="Arial Narrow" w:hAnsi="Arial Narrow" w:cs="Arial"/>
                <w:b/>
                <w:bCs/>
                <w:color w:val="FFFFFF"/>
                <w:sz w:val="18"/>
                <w:szCs w:val="18"/>
              </w:rPr>
              <w:t>Italia</w:t>
            </w:r>
          </w:p>
        </w:tc>
        <w:tc>
          <w:tcPr>
            <w:tcW w:w="1743" w:type="dxa"/>
            <w:shd w:val="clear" w:color="000000" w:fill="1F4E78"/>
            <w:vAlign w:val="center"/>
            <w:hideMark/>
          </w:tcPr>
          <w:p w14:paraId="61C56B1A" w14:textId="77777777" w:rsidR="00156D6F" w:rsidRPr="004276E2" w:rsidRDefault="00156D6F" w:rsidP="00EE139B">
            <w:pPr>
              <w:jc w:val="center"/>
              <w:rPr>
                <w:rFonts w:ascii="Arial Narrow" w:hAnsi="Arial Narrow" w:cs="Arial"/>
                <w:b/>
                <w:bCs/>
                <w:color w:val="FFFFFF"/>
                <w:sz w:val="18"/>
                <w:szCs w:val="18"/>
              </w:rPr>
            </w:pPr>
            <w:r w:rsidRPr="004276E2">
              <w:rPr>
                <w:rFonts w:ascii="Arial Narrow" w:hAnsi="Arial Narrow" w:cs="Arial"/>
                <w:b/>
                <w:bCs/>
                <w:color w:val="FFFFFF"/>
                <w:sz w:val="18"/>
                <w:szCs w:val="18"/>
              </w:rPr>
              <w:t xml:space="preserve">118 </w:t>
            </w:r>
          </w:p>
        </w:tc>
        <w:tc>
          <w:tcPr>
            <w:tcW w:w="1866" w:type="dxa"/>
            <w:shd w:val="clear" w:color="000000" w:fill="1F4E78"/>
            <w:vAlign w:val="center"/>
            <w:hideMark/>
          </w:tcPr>
          <w:p w14:paraId="6DAAB31D" w14:textId="77777777" w:rsidR="00156D6F" w:rsidRPr="004276E2" w:rsidRDefault="00156D6F" w:rsidP="00EE139B">
            <w:pPr>
              <w:jc w:val="center"/>
              <w:rPr>
                <w:rFonts w:ascii="Arial Narrow" w:hAnsi="Arial Narrow" w:cs="Arial"/>
                <w:b/>
                <w:bCs/>
                <w:color w:val="FFFFFF"/>
                <w:sz w:val="18"/>
                <w:szCs w:val="18"/>
              </w:rPr>
            </w:pPr>
            <w:r w:rsidRPr="004276E2">
              <w:rPr>
                <w:rFonts w:ascii="Arial Narrow" w:hAnsi="Arial Narrow" w:cs="Arial"/>
                <w:b/>
                <w:bCs/>
                <w:color w:val="FFFFFF"/>
                <w:sz w:val="18"/>
                <w:szCs w:val="18"/>
              </w:rPr>
              <w:t xml:space="preserve">121 </w:t>
            </w:r>
          </w:p>
        </w:tc>
        <w:tc>
          <w:tcPr>
            <w:tcW w:w="1743" w:type="dxa"/>
            <w:shd w:val="clear" w:color="000000" w:fill="1F4E78"/>
            <w:vAlign w:val="center"/>
            <w:hideMark/>
          </w:tcPr>
          <w:p w14:paraId="48A6443D" w14:textId="77777777" w:rsidR="00156D6F" w:rsidRPr="004276E2" w:rsidRDefault="00156D6F" w:rsidP="00EE139B">
            <w:pPr>
              <w:jc w:val="center"/>
              <w:rPr>
                <w:rFonts w:ascii="Arial Narrow" w:hAnsi="Arial Narrow" w:cs="Arial"/>
                <w:b/>
                <w:bCs/>
                <w:color w:val="FFFFFF"/>
                <w:sz w:val="18"/>
                <w:szCs w:val="18"/>
              </w:rPr>
            </w:pPr>
            <w:r w:rsidRPr="004276E2">
              <w:rPr>
                <w:rFonts w:ascii="Arial Narrow" w:hAnsi="Arial Narrow" w:cs="Arial"/>
                <w:b/>
                <w:bCs/>
                <w:color w:val="FFFFFF"/>
                <w:sz w:val="18"/>
                <w:szCs w:val="18"/>
              </w:rPr>
              <w:t xml:space="preserve">124 </w:t>
            </w:r>
          </w:p>
        </w:tc>
        <w:tc>
          <w:tcPr>
            <w:tcW w:w="1552" w:type="dxa"/>
            <w:shd w:val="clear" w:color="000000" w:fill="1F4E78"/>
            <w:vAlign w:val="center"/>
            <w:hideMark/>
          </w:tcPr>
          <w:p w14:paraId="2D94B6CC" w14:textId="77777777" w:rsidR="00156D6F" w:rsidRPr="004276E2" w:rsidRDefault="00156D6F" w:rsidP="00EE139B">
            <w:pPr>
              <w:jc w:val="center"/>
              <w:rPr>
                <w:rFonts w:ascii="Arial Narrow" w:hAnsi="Arial Narrow" w:cs="Arial"/>
                <w:b/>
                <w:bCs/>
                <w:color w:val="FFFFFF"/>
                <w:sz w:val="18"/>
                <w:szCs w:val="18"/>
              </w:rPr>
            </w:pPr>
            <w:r w:rsidRPr="004276E2">
              <w:rPr>
                <w:rFonts w:ascii="Arial Narrow" w:hAnsi="Arial Narrow" w:cs="Arial"/>
                <w:b/>
                <w:bCs/>
                <w:color w:val="FFFFFF"/>
                <w:sz w:val="18"/>
                <w:szCs w:val="18"/>
              </w:rPr>
              <w:t xml:space="preserve">182 </w:t>
            </w:r>
          </w:p>
        </w:tc>
        <w:tc>
          <w:tcPr>
            <w:tcW w:w="1511" w:type="dxa"/>
            <w:shd w:val="clear" w:color="000000" w:fill="1F4E78"/>
            <w:vAlign w:val="center"/>
            <w:hideMark/>
          </w:tcPr>
          <w:p w14:paraId="3D357365" w14:textId="77777777" w:rsidR="00156D6F" w:rsidRPr="004276E2" w:rsidRDefault="00156D6F" w:rsidP="00EE139B">
            <w:pPr>
              <w:jc w:val="center"/>
              <w:rPr>
                <w:rFonts w:ascii="Arial Narrow" w:hAnsi="Arial Narrow" w:cs="Arial"/>
                <w:b/>
                <w:bCs/>
                <w:color w:val="FFFFFF"/>
                <w:sz w:val="18"/>
                <w:szCs w:val="18"/>
              </w:rPr>
            </w:pPr>
            <w:r w:rsidRPr="004276E2">
              <w:rPr>
                <w:rFonts w:ascii="Arial Narrow" w:hAnsi="Arial Narrow" w:cs="Arial"/>
                <w:b/>
                <w:bCs/>
                <w:color w:val="FFFFFF"/>
                <w:sz w:val="18"/>
                <w:szCs w:val="18"/>
              </w:rPr>
              <w:t xml:space="preserve">142 </w:t>
            </w:r>
          </w:p>
        </w:tc>
      </w:tr>
    </w:tbl>
    <w:p w14:paraId="6E2A595A" w14:textId="77777777" w:rsidR="00752575" w:rsidRDefault="00752575" w:rsidP="0081292D">
      <w:pPr>
        <w:autoSpaceDE w:val="0"/>
        <w:autoSpaceDN w:val="0"/>
        <w:adjustRightInd w:val="0"/>
        <w:spacing w:after="120"/>
        <w:jc w:val="both"/>
        <w:rPr>
          <w:rFonts w:ascii="Arial" w:hAnsi="Arial" w:cs="Arial"/>
          <w:b/>
          <w:color w:val="1F497D" w:themeColor="text2"/>
          <w:sz w:val="26"/>
          <w:szCs w:val="26"/>
        </w:rPr>
      </w:pPr>
    </w:p>
    <w:p w14:paraId="4ABCFC2B" w14:textId="1C78C06D" w:rsidR="0081292D" w:rsidRPr="00881A67" w:rsidRDefault="0081292D" w:rsidP="0081292D">
      <w:pPr>
        <w:autoSpaceDE w:val="0"/>
        <w:autoSpaceDN w:val="0"/>
        <w:adjustRightInd w:val="0"/>
        <w:spacing w:after="120"/>
        <w:jc w:val="both"/>
        <w:rPr>
          <w:rFonts w:ascii="Arial" w:hAnsi="Arial" w:cs="Arial"/>
          <w:b/>
          <w:color w:val="1F497D" w:themeColor="text2"/>
          <w:sz w:val="26"/>
          <w:szCs w:val="26"/>
        </w:rPr>
      </w:pPr>
      <w:r>
        <w:rPr>
          <w:rFonts w:ascii="Arial" w:hAnsi="Arial" w:cs="Arial"/>
          <w:b/>
          <w:color w:val="1F497D" w:themeColor="text2"/>
          <w:sz w:val="26"/>
          <w:szCs w:val="26"/>
        </w:rPr>
        <w:lastRenderedPageBreak/>
        <w:t xml:space="preserve">Le regioni e le province concorrono alla spesa per i servizi sociali </w:t>
      </w:r>
    </w:p>
    <w:p w14:paraId="55B42714" w14:textId="639686AE" w:rsidR="0081292D" w:rsidRPr="003D4442" w:rsidRDefault="0081292D" w:rsidP="0081292D">
      <w:pPr>
        <w:autoSpaceDE w:val="0"/>
        <w:autoSpaceDN w:val="0"/>
        <w:adjustRightInd w:val="0"/>
        <w:spacing w:after="120"/>
        <w:jc w:val="both"/>
        <w:rPr>
          <w:rFonts w:ascii="Arial" w:hAnsi="Arial" w:cs="Arial"/>
          <w:sz w:val="22"/>
          <w:szCs w:val="22"/>
          <w:highlight w:val="yellow"/>
        </w:rPr>
      </w:pPr>
      <w:r w:rsidRPr="00E31BD6">
        <w:rPr>
          <w:rFonts w:ascii="Arial" w:hAnsi="Arial" w:cs="Arial"/>
          <w:sz w:val="22"/>
          <w:szCs w:val="22"/>
        </w:rPr>
        <w:t>In alcune regioni l’offerta socio-assistenziale realizzata dai Comuni</w:t>
      </w:r>
      <w:r w:rsidR="00E31BD6">
        <w:rPr>
          <w:rFonts w:ascii="Arial" w:hAnsi="Arial" w:cs="Arial"/>
          <w:sz w:val="22"/>
          <w:szCs w:val="22"/>
        </w:rPr>
        <w:t>,</w:t>
      </w:r>
      <w:r w:rsidRPr="00E31BD6">
        <w:rPr>
          <w:rFonts w:ascii="Arial" w:hAnsi="Arial" w:cs="Arial"/>
          <w:sz w:val="22"/>
          <w:szCs w:val="22"/>
        </w:rPr>
        <w:t xml:space="preserve"> </w:t>
      </w:r>
      <w:r w:rsidR="00E31BD6" w:rsidRPr="00E31BD6">
        <w:rPr>
          <w:rFonts w:ascii="Arial" w:hAnsi="Arial" w:cs="Arial"/>
          <w:sz w:val="22"/>
          <w:szCs w:val="22"/>
        </w:rPr>
        <w:t>singol</w:t>
      </w:r>
      <w:r w:rsidR="00E31BD6">
        <w:rPr>
          <w:rFonts w:ascii="Arial" w:hAnsi="Arial" w:cs="Arial"/>
          <w:sz w:val="22"/>
          <w:szCs w:val="22"/>
        </w:rPr>
        <w:t>armente</w:t>
      </w:r>
      <w:r w:rsidR="00E31BD6" w:rsidRPr="00E31BD6">
        <w:rPr>
          <w:rFonts w:ascii="Arial" w:hAnsi="Arial" w:cs="Arial"/>
          <w:sz w:val="22"/>
          <w:szCs w:val="22"/>
        </w:rPr>
        <w:t xml:space="preserve"> </w:t>
      </w:r>
      <w:r w:rsidR="00E31BD6">
        <w:rPr>
          <w:rFonts w:ascii="Arial" w:hAnsi="Arial" w:cs="Arial"/>
          <w:sz w:val="22"/>
          <w:szCs w:val="22"/>
        </w:rPr>
        <w:t>o</w:t>
      </w:r>
      <w:r w:rsidRPr="00E31BD6">
        <w:rPr>
          <w:rFonts w:ascii="Arial" w:hAnsi="Arial" w:cs="Arial"/>
          <w:sz w:val="22"/>
          <w:szCs w:val="22"/>
        </w:rPr>
        <w:t xml:space="preserve"> </w:t>
      </w:r>
      <w:r w:rsidR="00E31BD6">
        <w:rPr>
          <w:rFonts w:ascii="Arial" w:hAnsi="Arial" w:cs="Arial"/>
          <w:sz w:val="22"/>
          <w:szCs w:val="22"/>
        </w:rPr>
        <w:t>con il supporto di</w:t>
      </w:r>
      <w:r w:rsidR="00E31BD6" w:rsidRPr="00E31BD6">
        <w:rPr>
          <w:rFonts w:ascii="Arial" w:hAnsi="Arial" w:cs="Arial"/>
          <w:sz w:val="22"/>
          <w:szCs w:val="22"/>
        </w:rPr>
        <w:t xml:space="preserve"> </w:t>
      </w:r>
      <w:r w:rsidR="00E31BD6">
        <w:rPr>
          <w:rFonts w:ascii="Arial" w:hAnsi="Arial" w:cs="Arial"/>
          <w:sz w:val="22"/>
          <w:szCs w:val="22"/>
        </w:rPr>
        <w:t>Enti associativi sovracomunali (</w:t>
      </w:r>
      <w:r w:rsidRPr="00E31BD6">
        <w:rPr>
          <w:rFonts w:ascii="Arial" w:hAnsi="Arial" w:cs="Arial"/>
          <w:sz w:val="22"/>
          <w:szCs w:val="22"/>
        </w:rPr>
        <w:t>Ambiti Territoriali Sociali</w:t>
      </w:r>
      <w:r w:rsidR="00E31BD6">
        <w:rPr>
          <w:rFonts w:ascii="Arial" w:hAnsi="Arial" w:cs="Arial"/>
          <w:sz w:val="22"/>
          <w:szCs w:val="22"/>
        </w:rPr>
        <w:t xml:space="preserve">), </w:t>
      </w:r>
      <w:r w:rsidRPr="00E31BD6">
        <w:rPr>
          <w:rFonts w:ascii="Arial" w:hAnsi="Arial" w:cs="Arial"/>
          <w:sz w:val="22"/>
          <w:szCs w:val="22"/>
        </w:rPr>
        <w:t>viene integrata con interventi gestiti dalle Amministrazioni Provinciali e Regionali, sulla base di quanto previsto</w:t>
      </w:r>
      <w:r w:rsidRPr="003D4442">
        <w:rPr>
          <w:rFonts w:ascii="Arial" w:hAnsi="Arial" w:cs="Arial"/>
          <w:sz w:val="22"/>
          <w:szCs w:val="22"/>
        </w:rPr>
        <w:t xml:space="preserve"> dalla normativa regionale e delle Province Autonome. </w:t>
      </w:r>
    </w:p>
    <w:p w14:paraId="3700E4B5" w14:textId="2FED20B3" w:rsidR="00001091" w:rsidRPr="003D4442" w:rsidRDefault="00114106" w:rsidP="0092474A">
      <w:pPr>
        <w:autoSpaceDE w:val="0"/>
        <w:autoSpaceDN w:val="0"/>
        <w:adjustRightInd w:val="0"/>
        <w:spacing w:after="120"/>
        <w:jc w:val="both"/>
        <w:rPr>
          <w:rFonts w:ascii="Arial" w:hAnsi="Arial" w:cs="Arial"/>
          <w:sz w:val="22"/>
          <w:szCs w:val="22"/>
        </w:rPr>
      </w:pPr>
      <w:r w:rsidRPr="00D408B0">
        <w:rPr>
          <w:rFonts w:ascii="Arial" w:hAnsi="Arial" w:cs="Arial"/>
          <w:sz w:val="22"/>
          <w:szCs w:val="22"/>
        </w:rPr>
        <w:t>L’area di utenza privilegiata dell’intervento delle Regioni e delle Province sono le persone con disabilità, su cui si concentra più della metà della spesa impegnata (</w:t>
      </w:r>
      <w:r w:rsidR="00D408B0" w:rsidRPr="00D408B0">
        <w:rPr>
          <w:rFonts w:ascii="Arial" w:hAnsi="Arial" w:cs="Arial"/>
          <w:sz w:val="22"/>
          <w:szCs w:val="22"/>
        </w:rPr>
        <w:t>50,5</w:t>
      </w:r>
      <w:r w:rsidRPr="00D408B0">
        <w:rPr>
          <w:rFonts w:ascii="Arial" w:hAnsi="Arial" w:cs="Arial"/>
          <w:sz w:val="22"/>
          <w:szCs w:val="22"/>
        </w:rPr>
        <w:t>%), le rimanenti risorse sono rivolte soprattutto alle famiglie con figli (</w:t>
      </w:r>
      <w:r w:rsidR="00D408B0" w:rsidRPr="00D408B0">
        <w:rPr>
          <w:rFonts w:ascii="Arial" w:hAnsi="Arial" w:cs="Arial"/>
          <w:sz w:val="22"/>
          <w:szCs w:val="22"/>
        </w:rPr>
        <w:t>26,2</w:t>
      </w:r>
      <w:r w:rsidRPr="00D408B0">
        <w:rPr>
          <w:rFonts w:ascii="Arial" w:hAnsi="Arial" w:cs="Arial"/>
          <w:sz w:val="22"/>
          <w:szCs w:val="22"/>
        </w:rPr>
        <w:t>%) e al contrasto della povertà (</w:t>
      </w:r>
      <w:r w:rsidR="00D408B0" w:rsidRPr="00D408B0">
        <w:rPr>
          <w:rFonts w:ascii="Arial" w:hAnsi="Arial" w:cs="Arial"/>
          <w:sz w:val="22"/>
          <w:szCs w:val="22"/>
        </w:rPr>
        <w:t>14,8</w:t>
      </w:r>
      <w:r w:rsidRPr="00D408B0">
        <w:rPr>
          <w:rFonts w:ascii="Arial" w:hAnsi="Arial" w:cs="Arial"/>
          <w:sz w:val="22"/>
          <w:szCs w:val="22"/>
        </w:rPr>
        <w:t>%).</w:t>
      </w:r>
      <w:r w:rsidRPr="00114106">
        <w:rPr>
          <w:rFonts w:ascii="Arial" w:hAnsi="Arial" w:cs="Arial"/>
          <w:sz w:val="22"/>
          <w:szCs w:val="22"/>
        </w:rPr>
        <w:t xml:space="preserve"> </w:t>
      </w:r>
      <w:r w:rsidRPr="003D4442">
        <w:rPr>
          <w:rFonts w:ascii="Arial" w:hAnsi="Arial" w:cs="Arial"/>
          <w:sz w:val="22"/>
          <w:szCs w:val="22"/>
        </w:rPr>
        <w:t xml:space="preserve">In termini di spesa </w:t>
      </w:r>
      <w:r w:rsidR="00143D5C">
        <w:rPr>
          <w:rFonts w:ascii="Arial" w:hAnsi="Arial" w:cs="Arial"/>
          <w:sz w:val="22"/>
          <w:szCs w:val="22"/>
        </w:rPr>
        <w:br/>
      </w:r>
      <w:r w:rsidRPr="003D4442">
        <w:rPr>
          <w:rFonts w:ascii="Arial" w:hAnsi="Arial" w:cs="Arial"/>
          <w:sz w:val="22"/>
          <w:szCs w:val="22"/>
        </w:rPr>
        <w:t>pro-capite, l’apporto più significativo si registra in Valle D’Aosta</w:t>
      </w:r>
      <w:r w:rsidR="000B3DCF" w:rsidRPr="000B3DCF">
        <w:rPr>
          <w:rFonts w:ascii="Arial" w:hAnsi="Arial" w:cs="Arial"/>
          <w:sz w:val="22"/>
          <w:szCs w:val="22"/>
        </w:rPr>
        <w:t>/</w:t>
      </w:r>
      <w:proofErr w:type="spellStart"/>
      <w:r w:rsidR="000B3DCF" w:rsidRPr="000B3DCF">
        <w:rPr>
          <w:rFonts w:ascii="Arial" w:hAnsi="Arial" w:cs="Arial"/>
          <w:sz w:val="22"/>
          <w:szCs w:val="22"/>
        </w:rPr>
        <w:t>Vallée</w:t>
      </w:r>
      <w:proofErr w:type="spellEnd"/>
      <w:r w:rsidR="000B3DCF" w:rsidRPr="000B3DCF">
        <w:rPr>
          <w:rFonts w:ascii="Arial" w:hAnsi="Arial" w:cs="Arial"/>
          <w:sz w:val="22"/>
          <w:szCs w:val="22"/>
        </w:rPr>
        <w:t xml:space="preserve"> d'</w:t>
      </w:r>
      <w:proofErr w:type="spellStart"/>
      <w:r w:rsidR="000B3DCF" w:rsidRPr="000B3DCF">
        <w:rPr>
          <w:rFonts w:ascii="Arial" w:hAnsi="Arial" w:cs="Arial"/>
          <w:sz w:val="22"/>
          <w:szCs w:val="22"/>
        </w:rPr>
        <w:t>Aoste</w:t>
      </w:r>
      <w:proofErr w:type="spellEnd"/>
      <w:r w:rsidRPr="003D4442">
        <w:rPr>
          <w:rFonts w:ascii="Arial" w:hAnsi="Arial" w:cs="Arial"/>
          <w:sz w:val="22"/>
          <w:szCs w:val="22"/>
        </w:rPr>
        <w:t xml:space="preserve"> (</w:t>
      </w:r>
      <w:r w:rsidR="00D408B0" w:rsidRPr="00D408B0">
        <w:rPr>
          <w:rFonts w:ascii="Arial" w:hAnsi="Arial" w:cs="Arial"/>
          <w:sz w:val="22"/>
          <w:szCs w:val="22"/>
        </w:rPr>
        <w:t>98</w:t>
      </w:r>
      <w:r w:rsidRPr="00D408B0">
        <w:rPr>
          <w:rFonts w:ascii="Arial" w:hAnsi="Arial" w:cs="Arial"/>
          <w:sz w:val="22"/>
          <w:szCs w:val="22"/>
        </w:rPr>
        <w:t xml:space="preserve"> euro annui), nella Provincia Autonoma di Trento (83 euro), in Puglia (23 euro) e in Liguria (9 euro)</w:t>
      </w:r>
      <w:r w:rsidRPr="003D4442">
        <w:rPr>
          <w:rFonts w:ascii="Arial" w:hAnsi="Arial" w:cs="Arial"/>
          <w:sz w:val="22"/>
          <w:szCs w:val="22"/>
        </w:rPr>
        <w:t>.</w:t>
      </w:r>
    </w:p>
    <w:p w14:paraId="4503BC59" w14:textId="6038187A" w:rsidR="00B64971" w:rsidRDefault="00B64971" w:rsidP="002B5E5A">
      <w:pPr>
        <w:autoSpaceDE w:val="0"/>
        <w:autoSpaceDN w:val="0"/>
        <w:adjustRightInd w:val="0"/>
        <w:spacing w:after="120"/>
        <w:jc w:val="both"/>
        <w:rPr>
          <w:rFonts w:ascii="Arial" w:hAnsi="Arial" w:cs="Arial"/>
          <w:sz w:val="22"/>
          <w:szCs w:val="22"/>
        </w:rPr>
      </w:pPr>
      <w:r w:rsidRPr="003D4442">
        <w:rPr>
          <w:rFonts w:ascii="Arial" w:hAnsi="Arial" w:cs="Arial"/>
          <w:sz w:val="22"/>
          <w:szCs w:val="22"/>
        </w:rPr>
        <w:t>Integrando la spesa gestita dai Comuni singoli e associati con quella degli Enti regionali e provinciali, la graduatoria delle regioni risulta legge</w:t>
      </w:r>
      <w:r>
        <w:rPr>
          <w:rFonts w:ascii="Arial" w:hAnsi="Arial" w:cs="Arial"/>
          <w:sz w:val="22"/>
          <w:szCs w:val="22"/>
        </w:rPr>
        <w:t>rmente modificata</w:t>
      </w:r>
      <w:r w:rsidRPr="003D4442">
        <w:rPr>
          <w:rFonts w:ascii="Arial" w:hAnsi="Arial" w:cs="Arial"/>
          <w:sz w:val="22"/>
          <w:szCs w:val="22"/>
        </w:rPr>
        <w:t xml:space="preserve">, ma i divari territoriali </w:t>
      </w:r>
      <w:r>
        <w:rPr>
          <w:rFonts w:ascii="Arial" w:hAnsi="Arial" w:cs="Arial"/>
          <w:sz w:val="22"/>
          <w:szCs w:val="22"/>
        </w:rPr>
        <w:t>rimangono</w:t>
      </w:r>
      <w:r w:rsidRPr="003D4442">
        <w:rPr>
          <w:rFonts w:ascii="Arial" w:hAnsi="Arial" w:cs="Arial"/>
          <w:sz w:val="22"/>
          <w:szCs w:val="22"/>
        </w:rPr>
        <w:t xml:space="preserve">: il Nord-est è nettamente al di sopra delle altre aree, </w:t>
      </w:r>
      <w:r w:rsidRPr="00D408B0">
        <w:rPr>
          <w:rFonts w:ascii="Arial" w:hAnsi="Arial" w:cs="Arial"/>
          <w:sz w:val="22"/>
          <w:szCs w:val="22"/>
        </w:rPr>
        <w:t xml:space="preserve">con </w:t>
      </w:r>
      <w:r w:rsidR="00493DAA" w:rsidRPr="00D408B0">
        <w:rPr>
          <w:rFonts w:ascii="Arial" w:hAnsi="Arial" w:cs="Arial"/>
          <w:sz w:val="22"/>
          <w:szCs w:val="22"/>
        </w:rPr>
        <w:t>20</w:t>
      </w:r>
      <w:r w:rsidR="00493DAA">
        <w:rPr>
          <w:rFonts w:ascii="Arial" w:hAnsi="Arial" w:cs="Arial"/>
          <w:sz w:val="22"/>
          <w:szCs w:val="22"/>
        </w:rPr>
        <w:t>3</w:t>
      </w:r>
      <w:r w:rsidR="00493DAA" w:rsidRPr="00D408B0">
        <w:rPr>
          <w:rFonts w:ascii="Arial" w:hAnsi="Arial" w:cs="Arial"/>
          <w:sz w:val="22"/>
          <w:szCs w:val="22"/>
        </w:rPr>
        <w:t xml:space="preserve"> </w:t>
      </w:r>
      <w:r w:rsidRPr="00D408B0">
        <w:rPr>
          <w:rFonts w:ascii="Arial" w:hAnsi="Arial" w:cs="Arial"/>
          <w:sz w:val="22"/>
          <w:szCs w:val="22"/>
        </w:rPr>
        <w:t xml:space="preserve">euro di spesa pro-capite, seguono il Nord-ovest </w:t>
      </w:r>
      <w:r w:rsidR="000B3DCF">
        <w:rPr>
          <w:rFonts w:ascii="Arial" w:hAnsi="Arial" w:cs="Arial"/>
          <w:sz w:val="22"/>
          <w:szCs w:val="22"/>
        </w:rPr>
        <w:br/>
      </w:r>
      <w:r w:rsidRPr="00D408B0">
        <w:rPr>
          <w:rFonts w:ascii="Arial" w:hAnsi="Arial" w:cs="Arial"/>
          <w:sz w:val="22"/>
          <w:szCs w:val="22"/>
        </w:rPr>
        <w:t xml:space="preserve">(158 euro), il Centro (152 euro), le Isole (139 euro) e il Sud (80 euro), dove la spesa per il </w:t>
      </w:r>
      <w:r w:rsidRPr="00493DAA">
        <w:rPr>
          <w:rFonts w:ascii="Arial" w:hAnsi="Arial" w:cs="Arial"/>
          <w:i/>
          <w:iCs/>
          <w:sz w:val="22"/>
          <w:szCs w:val="22"/>
        </w:rPr>
        <w:t>welfare</w:t>
      </w:r>
      <w:r w:rsidRPr="00D408B0">
        <w:rPr>
          <w:rFonts w:ascii="Arial" w:hAnsi="Arial" w:cs="Arial"/>
          <w:sz w:val="22"/>
          <w:szCs w:val="22"/>
        </w:rPr>
        <w:t xml:space="preserve"> locale è circa la metà della media italiana (14</w:t>
      </w:r>
      <w:r>
        <w:rPr>
          <w:rFonts w:ascii="Arial" w:hAnsi="Arial" w:cs="Arial"/>
          <w:sz w:val="22"/>
          <w:szCs w:val="22"/>
        </w:rPr>
        <w:t>6</w:t>
      </w:r>
      <w:r w:rsidRPr="00D408B0">
        <w:rPr>
          <w:rFonts w:ascii="Arial" w:hAnsi="Arial" w:cs="Arial"/>
          <w:sz w:val="22"/>
          <w:szCs w:val="22"/>
        </w:rPr>
        <w:t xml:space="preserve"> euro).</w:t>
      </w:r>
      <w:r w:rsidRPr="003D4442">
        <w:rPr>
          <w:rFonts w:ascii="Arial" w:hAnsi="Arial" w:cs="Arial"/>
          <w:sz w:val="22"/>
          <w:szCs w:val="22"/>
        </w:rPr>
        <w:t xml:space="preserve"> </w:t>
      </w:r>
    </w:p>
    <w:p w14:paraId="7ABFD7B6" w14:textId="3B42E7D5" w:rsidR="00BB4480" w:rsidRDefault="00114106" w:rsidP="002B5E5A">
      <w:pPr>
        <w:autoSpaceDE w:val="0"/>
        <w:autoSpaceDN w:val="0"/>
        <w:adjustRightInd w:val="0"/>
        <w:spacing w:after="120"/>
        <w:jc w:val="both"/>
        <w:rPr>
          <w:rFonts w:ascii="Arial" w:hAnsi="Arial" w:cs="Arial"/>
          <w:sz w:val="22"/>
          <w:szCs w:val="22"/>
        </w:rPr>
      </w:pPr>
      <w:r>
        <w:rPr>
          <w:rFonts w:ascii="Arial" w:hAnsi="Arial" w:cs="Arial"/>
          <w:sz w:val="22"/>
          <w:szCs w:val="22"/>
        </w:rPr>
        <w:t xml:space="preserve">Negli ultimi anni i servizi sociali, così come i servizi socio-educativi per la prima infanzia, sono stati oggetto di vari provvedimenti normativi, volti all’ampliamento dell’offerta e alla riduzione dei noti divari territoriali. </w:t>
      </w:r>
      <w:r w:rsidRPr="00524A5E">
        <w:rPr>
          <w:rFonts w:ascii="Arial" w:hAnsi="Arial" w:cs="Arial"/>
          <w:sz w:val="22"/>
          <w:szCs w:val="22"/>
        </w:rPr>
        <w:t>La</w:t>
      </w:r>
      <w:r w:rsidR="00C465B3">
        <w:rPr>
          <w:rFonts w:ascii="Arial" w:hAnsi="Arial" w:cs="Arial"/>
          <w:sz w:val="22"/>
          <w:szCs w:val="22"/>
        </w:rPr>
        <w:t xml:space="preserve"> </w:t>
      </w:r>
      <w:r w:rsidRPr="00524A5E">
        <w:rPr>
          <w:rFonts w:ascii="Arial" w:hAnsi="Arial" w:cs="Arial"/>
          <w:sz w:val="22"/>
          <w:szCs w:val="22"/>
        </w:rPr>
        <w:t>Legge n. 178 del 30 dicembre 2020 (Legge di Bilancio 2021)</w:t>
      </w:r>
      <w:r>
        <w:rPr>
          <w:rFonts w:ascii="Arial" w:hAnsi="Arial" w:cs="Arial"/>
          <w:sz w:val="22"/>
          <w:szCs w:val="22"/>
        </w:rPr>
        <w:t xml:space="preserve"> </w:t>
      </w:r>
      <w:r w:rsidRPr="00524A5E">
        <w:rPr>
          <w:rFonts w:ascii="Arial" w:hAnsi="Arial" w:cs="Arial"/>
          <w:sz w:val="22"/>
          <w:szCs w:val="22"/>
        </w:rPr>
        <w:t xml:space="preserve">in particolare, ha definito </w:t>
      </w:r>
      <w:r w:rsidRPr="00175305">
        <w:rPr>
          <w:rFonts w:ascii="Arial" w:hAnsi="Arial" w:cs="Arial"/>
          <w:sz w:val="22"/>
          <w:szCs w:val="22"/>
        </w:rPr>
        <w:t>determinati standard da garantire</w:t>
      </w:r>
      <w:r w:rsidRPr="00D418E4">
        <w:rPr>
          <w:rFonts w:ascii="Arial" w:hAnsi="Arial" w:cs="Arial"/>
          <w:sz w:val="22"/>
          <w:szCs w:val="22"/>
        </w:rPr>
        <w:t xml:space="preserve"> </w:t>
      </w:r>
      <w:r>
        <w:rPr>
          <w:rFonts w:ascii="Arial" w:hAnsi="Arial" w:cs="Arial"/>
          <w:sz w:val="22"/>
          <w:szCs w:val="22"/>
        </w:rPr>
        <w:t xml:space="preserve">sull’intero territorio nazionale </w:t>
      </w:r>
      <w:r w:rsidRPr="00D418E4">
        <w:rPr>
          <w:rFonts w:ascii="Arial" w:hAnsi="Arial" w:cs="Arial"/>
          <w:sz w:val="22"/>
          <w:szCs w:val="22"/>
        </w:rPr>
        <w:t>(</w:t>
      </w:r>
      <w:r w:rsidRPr="00524A5E">
        <w:rPr>
          <w:rFonts w:ascii="Arial" w:hAnsi="Arial" w:cs="Arial"/>
          <w:sz w:val="22"/>
          <w:szCs w:val="22"/>
        </w:rPr>
        <w:t xml:space="preserve">Livelli Essenziali delle Prestazioni Sociali </w:t>
      </w:r>
      <w:r w:rsidRPr="00D418E4">
        <w:rPr>
          <w:rFonts w:ascii="Arial" w:hAnsi="Arial" w:cs="Arial"/>
          <w:sz w:val="22"/>
          <w:szCs w:val="22"/>
        </w:rPr>
        <w:t xml:space="preserve">- </w:t>
      </w:r>
      <w:r w:rsidRPr="00524A5E">
        <w:rPr>
          <w:rFonts w:ascii="Arial" w:hAnsi="Arial" w:cs="Arial"/>
          <w:sz w:val="22"/>
          <w:szCs w:val="22"/>
        </w:rPr>
        <w:t>LEPS</w:t>
      </w:r>
      <w:r>
        <w:rPr>
          <w:rStyle w:val="Rimandonotadichiusura"/>
          <w:rFonts w:ascii="Arial" w:hAnsi="Arial" w:cs="Arial"/>
          <w:sz w:val="22"/>
          <w:szCs w:val="22"/>
        </w:rPr>
        <w:endnoteReference w:id="1"/>
      </w:r>
      <w:r>
        <w:rPr>
          <w:rFonts w:ascii="Arial" w:hAnsi="Arial" w:cs="Arial"/>
          <w:sz w:val="22"/>
          <w:szCs w:val="22"/>
        </w:rPr>
        <w:t>)</w:t>
      </w:r>
      <w:r w:rsidRPr="00524A5E">
        <w:rPr>
          <w:rFonts w:ascii="Arial" w:hAnsi="Arial" w:cs="Arial"/>
          <w:sz w:val="22"/>
          <w:szCs w:val="22"/>
        </w:rPr>
        <w:t xml:space="preserve"> </w:t>
      </w:r>
      <w:r>
        <w:rPr>
          <w:rFonts w:ascii="Arial" w:hAnsi="Arial" w:cs="Arial"/>
          <w:sz w:val="22"/>
          <w:szCs w:val="22"/>
        </w:rPr>
        <w:t xml:space="preserve">per </w:t>
      </w:r>
      <w:r w:rsidRPr="00524A5E">
        <w:rPr>
          <w:rFonts w:ascii="Arial" w:hAnsi="Arial" w:cs="Arial"/>
          <w:sz w:val="22"/>
          <w:szCs w:val="22"/>
        </w:rPr>
        <w:t xml:space="preserve">i servizi sociali, </w:t>
      </w:r>
      <w:r>
        <w:rPr>
          <w:rFonts w:ascii="Arial" w:hAnsi="Arial" w:cs="Arial"/>
          <w:sz w:val="22"/>
          <w:szCs w:val="22"/>
        </w:rPr>
        <w:t>per i quali è stato stabilito</w:t>
      </w:r>
      <w:r w:rsidRPr="00524A5E">
        <w:rPr>
          <w:rFonts w:ascii="Arial" w:hAnsi="Arial" w:cs="Arial"/>
          <w:sz w:val="22"/>
          <w:szCs w:val="22"/>
        </w:rPr>
        <w:t xml:space="preserve"> un rapporto minimo tra gli assistenti sociali impiegati presso i Comuni </w:t>
      </w:r>
      <w:r>
        <w:rPr>
          <w:rFonts w:ascii="Arial" w:hAnsi="Arial" w:cs="Arial"/>
          <w:sz w:val="22"/>
          <w:szCs w:val="22"/>
        </w:rPr>
        <w:t>o</w:t>
      </w:r>
      <w:r w:rsidRPr="00524A5E">
        <w:rPr>
          <w:rFonts w:ascii="Arial" w:hAnsi="Arial" w:cs="Arial"/>
          <w:sz w:val="22"/>
          <w:szCs w:val="22"/>
        </w:rPr>
        <w:t xml:space="preserve"> gli Ambiti Territoriali Sociali e la popolazione residente (almeno </w:t>
      </w:r>
      <w:r w:rsidR="00C465B3">
        <w:rPr>
          <w:rFonts w:ascii="Arial" w:hAnsi="Arial" w:cs="Arial"/>
          <w:sz w:val="22"/>
          <w:szCs w:val="22"/>
        </w:rPr>
        <w:t>uno</w:t>
      </w:r>
      <w:r w:rsidRPr="00524A5E">
        <w:rPr>
          <w:rFonts w:ascii="Arial" w:hAnsi="Arial" w:cs="Arial"/>
          <w:sz w:val="22"/>
          <w:szCs w:val="22"/>
        </w:rPr>
        <w:t xml:space="preserve"> ogni 5</w:t>
      </w:r>
      <w:r w:rsidR="00C465B3">
        <w:rPr>
          <w:rFonts w:ascii="Arial" w:hAnsi="Arial" w:cs="Arial"/>
          <w:sz w:val="22"/>
          <w:szCs w:val="22"/>
        </w:rPr>
        <w:t>mila</w:t>
      </w:r>
      <w:r w:rsidRPr="00524A5E">
        <w:rPr>
          <w:rFonts w:ascii="Arial" w:hAnsi="Arial" w:cs="Arial"/>
          <w:sz w:val="22"/>
          <w:szCs w:val="22"/>
        </w:rPr>
        <w:t xml:space="preserve"> abitanti).</w:t>
      </w:r>
      <w:r>
        <w:rPr>
          <w:rFonts w:ascii="Arial" w:hAnsi="Arial" w:cs="Arial"/>
          <w:sz w:val="22"/>
          <w:szCs w:val="22"/>
        </w:rPr>
        <w:t xml:space="preserve"> </w:t>
      </w:r>
      <w:r w:rsidRPr="00524A5E">
        <w:rPr>
          <w:rFonts w:ascii="Arial" w:hAnsi="Arial" w:cs="Arial"/>
          <w:sz w:val="22"/>
          <w:szCs w:val="22"/>
        </w:rPr>
        <w:t>La</w:t>
      </w:r>
      <w:r w:rsidR="00C465B3">
        <w:rPr>
          <w:rFonts w:ascii="Arial" w:hAnsi="Arial" w:cs="Arial"/>
          <w:sz w:val="22"/>
          <w:szCs w:val="22"/>
        </w:rPr>
        <w:t xml:space="preserve"> </w:t>
      </w:r>
      <w:hyperlink r:id="rId13" w:tgtFrame="_blank" w:tooltip="Legge n. 134 del 30 dicembre 2021" w:history="1">
        <w:r w:rsidRPr="00524A5E">
          <w:rPr>
            <w:rFonts w:ascii="Arial" w:hAnsi="Arial" w:cs="Arial"/>
            <w:sz w:val="22"/>
            <w:szCs w:val="22"/>
          </w:rPr>
          <w:t>Legge n. 234 del 30 dicembre 2021</w:t>
        </w:r>
      </w:hyperlink>
      <w:r>
        <w:rPr>
          <w:rFonts w:ascii="Arial" w:hAnsi="Arial" w:cs="Arial"/>
          <w:sz w:val="22"/>
          <w:szCs w:val="22"/>
        </w:rPr>
        <w:t xml:space="preserve"> (Legge di Bilancio 2022),</w:t>
      </w:r>
      <w:r w:rsidRPr="00524A5E">
        <w:rPr>
          <w:rFonts w:ascii="Arial" w:hAnsi="Arial" w:cs="Arial"/>
          <w:sz w:val="22"/>
          <w:szCs w:val="22"/>
        </w:rPr>
        <w:t xml:space="preserve"> inoltre, definisce </w:t>
      </w:r>
      <w:r>
        <w:rPr>
          <w:rFonts w:ascii="Arial" w:hAnsi="Arial" w:cs="Arial"/>
          <w:sz w:val="22"/>
          <w:szCs w:val="22"/>
        </w:rPr>
        <w:t>alcune</w:t>
      </w:r>
      <w:r w:rsidRPr="00524A5E">
        <w:rPr>
          <w:rFonts w:ascii="Arial" w:hAnsi="Arial" w:cs="Arial"/>
          <w:sz w:val="22"/>
          <w:szCs w:val="22"/>
        </w:rPr>
        <w:t xml:space="preserve"> priorità di intervento</w:t>
      </w:r>
      <w:r w:rsidR="00ED0630" w:rsidRPr="00ED0630">
        <w:rPr>
          <w:rFonts w:ascii="Arial" w:hAnsi="Arial" w:cs="Arial"/>
          <w:sz w:val="22"/>
          <w:szCs w:val="22"/>
        </w:rPr>
        <w:t xml:space="preserve"> </w:t>
      </w:r>
      <w:r w:rsidR="00ED0630" w:rsidRPr="00524A5E">
        <w:rPr>
          <w:rFonts w:ascii="Arial" w:hAnsi="Arial" w:cs="Arial"/>
          <w:sz w:val="22"/>
          <w:szCs w:val="22"/>
        </w:rPr>
        <w:t>per introdu</w:t>
      </w:r>
      <w:r w:rsidR="00ED0630">
        <w:rPr>
          <w:rFonts w:ascii="Arial" w:hAnsi="Arial" w:cs="Arial"/>
          <w:sz w:val="22"/>
          <w:szCs w:val="22"/>
        </w:rPr>
        <w:t>rr</w:t>
      </w:r>
      <w:r w:rsidR="00ED0630" w:rsidRPr="00524A5E">
        <w:rPr>
          <w:rFonts w:ascii="Arial" w:hAnsi="Arial" w:cs="Arial"/>
          <w:sz w:val="22"/>
          <w:szCs w:val="22"/>
        </w:rPr>
        <w:t xml:space="preserve">e </w:t>
      </w:r>
      <w:r w:rsidR="00ED0630">
        <w:rPr>
          <w:rFonts w:ascii="Arial" w:hAnsi="Arial" w:cs="Arial"/>
          <w:sz w:val="22"/>
          <w:szCs w:val="22"/>
        </w:rPr>
        <w:t>gradualmente</w:t>
      </w:r>
      <w:r w:rsidR="00ED0630" w:rsidRPr="00524A5E">
        <w:rPr>
          <w:rFonts w:ascii="Arial" w:hAnsi="Arial" w:cs="Arial"/>
          <w:sz w:val="22"/>
          <w:szCs w:val="22"/>
        </w:rPr>
        <w:t xml:space="preserve"> nuovi</w:t>
      </w:r>
      <w:r w:rsidR="00ED0630">
        <w:rPr>
          <w:rFonts w:ascii="Arial" w:hAnsi="Arial" w:cs="Arial"/>
          <w:sz w:val="22"/>
          <w:szCs w:val="22"/>
        </w:rPr>
        <w:t xml:space="preserve"> livelli essenziali da assicurare in tutte le aree geografiche</w:t>
      </w:r>
      <w:r w:rsidRPr="00524A5E">
        <w:rPr>
          <w:rFonts w:ascii="Arial" w:hAnsi="Arial" w:cs="Arial"/>
          <w:sz w:val="22"/>
          <w:szCs w:val="22"/>
        </w:rPr>
        <w:t>, tra cui l’assistenza domiciliare per le persone anziane non autosufficienti</w:t>
      </w:r>
      <w:r>
        <w:rPr>
          <w:rFonts w:ascii="Arial" w:hAnsi="Arial" w:cs="Arial"/>
          <w:sz w:val="22"/>
          <w:szCs w:val="22"/>
        </w:rPr>
        <w:t xml:space="preserve">, i </w:t>
      </w:r>
      <w:r w:rsidRPr="00B23CBC">
        <w:rPr>
          <w:rFonts w:ascii="Arial" w:hAnsi="Arial" w:cs="Arial"/>
          <w:sz w:val="22"/>
          <w:szCs w:val="22"/>
        </w:rPr>
        <w:t>progetti per la vita indipendente</w:t>
      </w:r>
      <w:r>
        <w:rPr>
          <w:rFonts w:ascii="Arial" w:hAnsi="Arial" w:cs="Arial"/>
          <w:sz w:val="22"/>
          <w:szCs w:val="22"/>
        </w:rPr>
        <w:t xml:space="preserve"> delle persone con disabilità, la </w:t>
      </w:r>
      <w:r w:rsidRPr="00B23CBC">
        <w:rPr>
          <w:rFonts w:ascii="Arial" w:hAnsi="Arial" w:cs="Arial"/>
          <w:sz w:val="22"/>
          <w:szCs w:val="22"/>
        </w:rPr>
        <w:t>prevenzion</w:t>
      </w:r>
      <w:r>
        <w:rPr>
          <w:rFonts w:ascii="Arial" w:hAnsi="Arial" w:cs="Arial"/>
          <w:sz w:val="22"/>
          <w:szCs w:val="22"/>
        </w:rPr>
        <w:t>e dell'allo</w:t>
      </w:r>
      <w:r w:rsidR="00ED0630">
        <w:rPr>
          <w:rFonts w:ascii="Arial" w:hAnsi="Arial" w:cs="Arial"/>
          <w:sz w:val="22"/>
          <w:szCs w:val="22"/>
        </w:rPr>
        <w:t>ntanamento familiare</w:t>
      </w:r>
      <w:r>
        <w:rPr>
          <w:rFonts w:ascii="Arial" w:hAnsi="Arial" w:cs="Arial"/>
          <w:sz w:val="22"/>
          <w:szCs w:val="22"/>
        </w:rPr>
        <w:t>.</w:t>
      </w:r>
    </w:p>
    <w:p w14:paraId="44398D6A" w14:textId="77777777" w:rsidR="0031704E" w:rsidRPr="002B5E5A" w:rsidRDefault="0031704E" w:rsidP="002B5E5A">
      <w:pPr>
        <w:autoSpaceDE w:val="0"/>
        <w:autoSpaceDN w:val="0"/>
        <w:adjustRightInd w:val="0"/>
        <w:spacing w:after="120"/>
        <w:jc w:val="both"/>
        <w:rPr>
          <w:rFonts w:ascii="Arial" w:hAnsi="Arial" w:cs="Arial"/>
          <w:sz w:val="22"/>
          <w:szCs w:val="22"/>
        </w:rPr>
      </w:pPr>
    </w:p>
    <w:p w14:paraId="10468171" w14:textId="3C0E26C8" w:rsidR="003546B0" w:rsidRPr="003546B0" w:rsidRDefault="00FD47E8" w:rsidP="002934A3">
      <w:pPr>
        <w:autoSpaceDE w:val="0"/>
        <w:autoSpaceDN w:val="0"/>
        <w:adjustRightInd w:val="0"/>
        <w:spacing w:after="120"/>
        <w:jc w:val="both"/>
        <w:rPr>
          <w:rFonts w:ascii="Arial" w:hAnsi="Arial" w:cs="Arial"/>
          <w:b/>
          <w:color w:val="1F497D" w:themeColor="text2"/>
          <w:sz w:val="26"/>
          <w:szCs w:val="26"/>
        </w:rPr>
      </w:pPr>
      <w:r>
        <w:rPr>
          <w:rFonts w:ascii="Arial" w:hAnsi="Arial" w:cs="Arial"/>
          <w:b/>
          <w:color w:val="1F497D" w:themeColor="text2"/>
          <w:sz w:val="26"/>
          <w:szCs w:val="26"/>
        </w:rPr>
        <w:t>In aumento g</w:t>
      </w:r>
      <w:r w:rsidR="003546B0" w:rsidRPr="003546B0">
        <w:rPr>
          <w:rFonts w:ascii="Arial" w:hAnsi="Arial" w:cs="Arial"/>
          <w:b/>
          <w:color w:val="1F497D" w:themeColor="text2"/>
          <w:sz w:val="26"/>
          <w:szCs w:val="26"/>
        </w:rPr>
        <w:t xml:space="preserve">li utenti </w:t>
      </w:r>
      <w:r w:rsidR="00480B8B">
        <w:rPr>
          <w:rFonts w:ascii="Arial" w:hAnsi="Arial" w:cs="Arial"/>
          <w:b/>
          <w:color w:val="1F497D" w:themeColor="text2"/>
          <w:sz w:val="26"/>
          <w:szCs w:val="26"/>
        </w:rPr>
        <w:t>presi in carico dagli assistenti sociali</w:t>
      </w:r>
    </w:p>
    <w:p w14:paraId="3E20A515" w14:textId="0DDF4807" w:rsidR="002934A3" w:rsidRPr="00D323C8" w:rsidRDefault="00A05A49" w:rsidP="002934A3">
      <w:pPr>
        <w:autoSpaceDE w:val="0"/>
        <w:autoSpaceDN w:val="0"/>
        <w:adjustRightInd w:val="0"/>
        <w:spacing w:after="120"/>
        <w:jc w:val="both"/>
        <w:rPr>
          <w:rFonts w:ascii="Arial" w:hAnsi="Arial" w:cs="Arial"/>
          <w:sz w:val="22"/>
          <w:szCs w:val="22"/>
        </w:rPr>
      </w:pPr>
      <w:r w:rsidRPr="00D323C8">
        <w:rPr>
          <w:rFonts w:ascii="Arial" w:hAnsi="Arial" w:cs="Arial"/>
          <w:sz w:val="22"/>
          <w:szCs w:val="22"/>
        </w:rPr>
        <w:t>L</w:t>
      </w:r>
      <w:r w:rsidR="00AB51F1" w:rsidRPr="00D323C8">
        <w:rPr>
          <w:rFonts w:ascii="Arial" w:hAnsi="Arial" w:cs="Arial"/>
          <w:sz w:val="22"/>
          <w:szCs w:val="22"/>
        </w:rPr>
        <w:t>a porta di accesso per la presa in carico delle persone e dei nuclei familiari da parte dei Comuni o degli Enti/Ambiti Territoriali di riferimento è il servizio sociale professionale</w:t>
      </w:r>
      <w:r w:rsidR="00C97856">
        <w:rPr>
          <w:rFonts w:ascii="Arial" w:hAnsi="Arial" w:cs="Arial"/>
          <w:sz w:val="22"/>
          <w:szCs w:val="22"/>
        </w:rPr>
        <w:t>.</w:t>
      </w:r>
      <w:r w:rsidR="00AB51F1" w:rsidRPr="00D323C8">
        <w:rPr>
          <w:rFonts w:ascii="Arial" w:hAnsi="Arial" w:cs="Arial"/>
          <w:sz w:val="22"/>
          <w:szCs w:val="22"/>
        </w:rPr>
        <w:t xml:space="preserve"> </w:t>
      </w:r>
      <w:r w:rsidR="00C97856" w:rsidRPr="00D323C8">
        <w:rPr>
          <w:rFonts w:ascii="Arial" w:hAnsi="Arial" w:cs="Arial"/>
          <w:sz w:val="22"/>
          <w:szCs w:val="22"/>
        </w:rPr>
        <w:t>Il servizio</w:t>
      </w:r>
      <w:r w:rsidR="00C97856">
        <w:rPr>
          <w:rFonts w:ascii="Arial" w:hAnsi="Arial" w:cs="Arial"/>
          <w:sz w:val="22"/>
          <w:szCs w:val="22"/>
        </w:rPr>
        <w:t>,</w:t>
      </w:r>
      <w:r w:rsidR="00C97856" w:rsidRPr="00D323C8">
        <w:rPr>
          <w:rFonts w:ascii="Arial" w:hAnsi="Arial" w:cs="Arial"/>
          <w:sz w:val="22"/>
          <w:szCs w:val="22"/>
        </w:rPr>
        <w:t xml:space="preserve"> che raggiunge il maggior numero di utenti in tutte le aree di intervento</w:t>
      </w:r>
      <w:r w:rsidR="00C97856">
        <w:rPr>
          <w:rFonts w:ascii="Arial" w:hAnsi="Arial" w:cs="Arial"/>
          <w:sz w:val="22"/>
          <w:szCs w:val="22"/>
        </w:rPr>
        <w:t>,</w:t>
      </w:r>
      <w:r w:rsidR="00C97856" w:rsidRPr="00D323C8">
        <w:rPr>
          <w:rFonts w:ascii="Arial" w:hAnsi="Arial" w:cs="Arial"/>
          <w:sz w:val="22"/>
          <w:szCs w:val="22"/>
        </w:rPr>
        <w:t xml:space="preserve"> è basato sulla figura professionale degli assistenti sociali, che forniscono attività di consulenza, valutazione e progettazione di soluzioni specifiche ai problemi delle persone in difficoltà.</w:t>
      </w:r>
    </w:p>
    <w:p w14:paraId="0149136E" w14:textId="6F389C7C" w:rsidR="00AB51F1" w:rsidRDefault="002934A3" w:rsidP="002934A3">
      <w:pPr>
        <w:autoSpaceDE w:val="0"/>
        <w:autoSpaceDN w:val="0"/>
        <w:adjustRightInd w:val="0"/>
        <w:spacing w:after="120"/>
        <w:jc w:val="both"/>
        <w:rPr>
          <w:rFonts w:ascii="Arial" w:hAnsi="Arial" w:cs="Arial"/>
          <w:sz w:val="22"/>
          <w:szCs w:val="22"/>
        </w:rPr>
      </w:pPr>
      <w:r w:rsidRPr="00C34D9E">
        <w:rPr>
          <w:rFonts w:ascii="Arial" w:hAnsi="Arial" w:cs="Arial"/>
          <w:sz w:val="22"/>
          <w:szCs w:val="22"/>
        </w:rPr>
        <w:t>N</w:t>
      </w:r>
      <w:r w:rsidR="00524A5E" w:rsidRPr="00C34D9E">
        <w:rPr>
          <w:rFonts w:ascii="Arial" w:hAnsi="Arial" w:cs="Arial"/>
          <w:sz w:val="22"/>
          <w:szCs w:val="22"/>
        </w:rPr>
        <w:t xml:space="preserve">el 2021 sono stati presi in carico dagli assistenti sociali </w:t>
      </w:r>
      <w:r w:rsidR="00AB51F1" w:rsidRPr="00C34D9E">
        <w:rPr>
          <w:rFonts w:ascii="Arial" w:hAnsi="Arial" w:cs="Arial"/>
          <w:sz w:val="22"/>
          <w:szCs w:val="22"/>
        </w:rPr>
        <w:t xml:space="preserve">oltre 2 milioni </w:t>
      </w:r>
      <w:r w:rsidR="008322A5" w:rsidRPr="00C34D9E">
        <w:rPr>
          <w:rFonts w:ascii="Arial" w:hAnsi="Arial" w:cs="Arial"/>
          <w:sz w:val="22"/>
          <w:szCs w:val="22"/>
        </w:rPr>
        <w:t xml:space="preserve">185mila </w:t>
      </w:r>
      <w:r w:rsidR="00AB51F1" w:rsidRPr="00C34D9E">
        <w:rPr>
          <w:rFonts w:ascii="Arial" w:hAnsi="Arial" w:cs="Arial"/>
          <w:sz w:val="22"/>
          <w:szCs w:val="22"/>
        </w:rPr>
        <w:t>utenti</w:t>
      </w:r>
      <w:r w:rsidR="008F131E">
        <w:rPr>
          <w:rFonts w:ascii="Arial" w:hAnsi="Arial" w:cs="Arial"/>
          <w:sz w:val="22"/>
          <w:szCs w:val="22"/>
        </w:rPr>
        <w:t xml:space="preserve"> (il 4,4% in più del 2020)</w:t>
      </w:r>
      <w:r w:rsidR="00AB51F1" w:rsidRPr="00C34D9E">
        <w:rPr>
          <w:rFonts w:ascii="Arial" w:hAnsi="Arial" w:cs="Arial"/>
          <w:sz w:val="22"/>
          <w:szCs w:val="22"/>
        </w:rPr>
        <w:t xml:space="preserve">, di cui la quota più ampia (31%) sono bambini e </w:t>
      </w:r>
      <w:r w:rsidR="00524A5E" w:rsidRPr="00C34D9E">
        <w:rPr>
          <w:rFonts w:ascii="Arial" w:hAnsi="Arial" w:cs="Arial"/>
          <w:sz w:val="22"/>
          <w:szCs w:val="22"/>
        </w:rPr>
        <w:t>nuclei familiari</w:t>
      </w:r>
      <w:r w:rsidR="00AB51F1" w:rsidRPr="00C34D9E">
        <w:rPr>
          <w:rFonts w:ascii="Arial" w:hAnsi="Arial" w:cs="Arial"/>
          <w:sz w:val="22"/>
          <w:szCs w:val="22"/>
        </w:rPr>
        <w:t xml:space="preserve"> con minori, il 24</w:t>
      </w:r>
      <w:r w:rsidR="008322A5" w:rsidRPr="00C34D9E">
        <w:rPr>
          <w:rFonts w:ascii="Arial" w:hAnsi="Arial" w:cs="Arial"/>
          <w:sz w:val="22"/>
          <w:szCs w:val="22"/>
        </w:rPr>
        <w:t>,1</w:t>
      </w:r>
      <w:r w:rsidR="00AB51F1" w:rsidRPr="00C34D9E">
        <w:rPr>
          <w:rFonts w:ascii="Arial" w:hAnsi="Arial" w:cs="Arial"/>
          <w:sz w:val="22"/>
          <w:szCs w:val="22"/>
        </w:rPr>
        <w:t xml:space="preserve">% </w:t>
      </w:r>
      <w:r w:rsidR="008322A5" w:rsidRPr="00C34D9E">
        <w:rPr>
          <w:rFonts w:ascii="Arial" w:hAnsi="Arial" w:cs="Arial"/>
          <w:sz w:val="22"/>
          <w:szCs w:val="22"/>
        </w:rPr>
        <w:t>persone anziane, il 24%</w:t>
      </w:r>
      <w:r w:rsidR="00AB51F1" w:rsidRPr="00C34D9E">
        <w:rPr>
          <w:rFonts w:ascii="Arial" w:hAnsi="Arial" w:cs="Arial"/>
          <w:sz w:val="22"/>
          <w:szCs w:val="22"/>
        </w:rPr>
        <w:t xml:space="preserve"> adulti</w:t>
      </w:r>
      <w:r w:rsidR="008322A5" w:rsidRPr="00C34D9E">
        <w:rPr>
          <w:rFonts w:ascii="Arial" w:hAnsi="Arial" w:cs="Arial"/>
          <w:sz w:val="22"/>
          <w:szCs w:val="22"/>
        </w:rPr>
        <w:t xml:space="preserve"> con problemi di povertà e disagio sociale</w:t>
      </w:r>
      <w:r w:rsidR="00AB51F1" w:rsidRPr="00C34D9E">
        <w:rPr>
          <w:rFonts w:ascii="Arial" w:hAnsi="Arial" w:cs="Arial"/>
          <w:sz w:val="22"/>
          <w:szCs w:val="22"/>
        </w:rPr>
        <w:t>, il 1</w:t>
      </w:r>
      <w:r w:rsidR="008322A5" w:rsidRPr="00C34D9E">
        <w:rPr>
          <w:rFonts w:ascii="Arial" w:hAnsi="Arial" w:cs="Arial"/>
          <w:sz w:val="22"/>
          <w:szCs w:val="22"/>
        </w:rPr>
        <w:t>3,5</w:t>
      </w:r>
      <w:r w:rsidR="00AB51F1" w:rsidRPr="00C34D9E">
        <w:rPr>
          <w:rFonts w:ascii="Arial" w:hAnsi="Arial" w:cs="Arial"/>
          <w:sz w:val="22"/>
          <w:szCs w:val="22"/>
        </w:rPr>
        <w:t>% persone sotto i 65 anni con disabilità, il 6</w:t>
      </w:r>
      <w:r w:rsidR="008322A5" w:rsidRPr="00C34D9E">
        <w:rPr>
          <w:rFonts w:ascii="Arial" w:hAnsi="Arial" w:cs="Arial"/>
          <w:sz w:val="22"/>
          <w:szCs w:val="22"/>
        </w:rPr>
        <w:t>,2</w:t>
      </w:r>
      <w:r w:rsidR="00AB51F1" w:rsidRPr="00C34D9E">
        <w:rPr>
          <w:rFonts w:ascii="Arial" w:hAnsi="Arial" w:cs="Arial"/>
          <w:sz w:val="22"/>
          <w:szCs w:val="22"/>
        </w:rPr>
        <w:t>%</w:t>
      </w:r>
      <w:r w:rsidR="00524A5E" w:rsidRPr="00C34D9E">
        <w:rPr>
          <w:rFonts w:ascii="Arial" w:hAnsi="Arial" w:cs="Arial"/>
          <w:sz w:val="22"/>
          <w:szCs w:val="22"/>
        </w:rPr>
        <w:t xml:space="preserve"> immigrati </w:t>
      </w:r>
      <w:r w:rsidR="00AB51F1" w:rsidRPr="00C34D9E">
        <w:rPr>
          <w:rFonts w:ascii="Arial" w:hAnsi="Arial" w:cs="Arial"/>
          <w:sz w:val="22"/>
          <w:szCs w:val="22"/>
        </w:rPr>
        <w:t>e l’1</w:t>
      </w:r>
      <w:r w:rsidR="008322A5" w:rsidRPr="00C34D9E">
        <w:rPr>
          <w:rFonts w:ascii="Arial" w:hAnsi="Arial" w:cs="Arial"/>
          <w:sz w:val="22"/>
          <w:szCs w:val="22"/>
        </w:rPr>
        <w:t>,2</w:t>
      </w:r>
      <w:r w:rsidR="00AB51F1" w:rsidRPr="00C34D9E">
        <w:rPr>
          <w:rFonts w:ascii="Arial" w:hAnsi="Arial" w:cs="Arial"/>
          <w:sz w:val="22"/>
          <w:szCs w:val="22"/>
        </w:rPr>
        <w:t>% utenti con problemi di dipendenze.</w:t>
      </w:r>
      <w:r w:rsidR="002B5E5A">
        <w:rPr>
          <w:rFonts w:ascii="Arial" w:hAnsi="Arial" w:cs="Arial"/>
          <w:sz w:val="22"/>
          <w:szCs w:val="22"/>
        </w:rPr>
        <w:t xml:space="preserve"> </w:t>
      </w:r>
    </w:p>
    <w:p w14:paraId="0A55786B" w14:textId="77777777" w:rsidR="0081292D" w:rsidRPr="00B57C5D" w:rsidRDefault="0081292D" w:rsidP="00CD298E">
      <w:pPr>
        <w:autoSpaceDE w:val="0"/>
        <w:autoSpaceDN w:val="0"/>
        <w:adjustRightInd w:val="0"/>
        <w:jc w:val="both"/>
        <w:rPr>
          <w:rFonts w:ascii="Arial" w:hAnsi="Arial" w:cs="Arial"/>
          <w:sz w:val="28"/>
          <w:szCs w:val="22"/>
        </w:rPr>
      </w:pPr>
    </w:p>
    <w:p w14:paraId="3824A401" w14:textId="7F0CF16D" w:rsidR="003C1FB6" w:rsidRDefault="003C1FB6" w:rsidP="002934A3">
      <w:pPr>
        <w:autoSpaceDE w:val="0"/>
        <w:autoSpaceDN w:val="0"/>
        <w:adjustRightInd w:val="0"/>
        <w:spacing w:after="120"/>
        <w:jc w:val="both"/>
        <w:rPr>
          <w:rFonts w:ascii="Arial Narrow" w:hAnsi="Arial Narrow" w:cs="Arial"/>
          <w:iCs/>
          <w:noProof/>
          <w:color w:val="1F497D" w:themeColor="text2"/>
          <w:sz w:val="22"/>
          <w:szCs w:val="22"/>
        </w:rPr>
      </w:pPr>
      <w:r w:rsidRPr="005D02DA">
        <w:rPr>
          <w:rFonts w:ascii="Arial Black" w:hAnsi="Arial Black" w:cs="Arial"/>
          <w:iCs/>
          <w:noProof/>
          <w:color w:val="1F497D" w:themeColor="text2"/>
          <w:sz w:val="22"/>
          <w:szCs w:val="22"/>
        </w:rPr>
        <w:t xml:space="preserve">FIGURA </w:t>
      </w:r>
      <w:r>
        <w:rPr>
          <w:rFonts w:ascii="Arial Black" w:hAnsi="Arial Black" w:cs="Arial"/>
          <w:iCs/>
          <w:noProof/>
          <w:color w:val="1F497D" w:themeColor="text2"/>
          <w:sz w:val="22"/>
          <w:szCs w:val="22"/>
        </w:rPr>
        <w:t>1</w:t>
      </w:r>
      <w:r w:rsidRPr="005D02DA">
        <w:rPr>
          <w:rFonts w:ascii="Arial Black" w:hAnsi="Arial Black" w:cs="Arial"/>
          <w:iCs/>
          <w:noProof/>
          <w:color w:val="1F497D" w:themeColor="text2"/>
          <w:sz w:val="22"/>
          <w:szCs w:val="22"/>
        </w:rPr>
        <w:t>.</w:t>
      </w:r>
      <w:r w:rsidRPr="005D02DA">
        <w:rPr>
          <w:rFonts w:ascii="Arial Narrow" w:hAnsi="Arial Narrow" w:cs="Arial"/>
          <w:b/>
          <w:iCs/>
          <w:noProof/>
          <w:color w:val="1F497D" w:themeColor="text2"/>
          <w:sz w:val="22"/>
          <w:szCs w:val="22"/>
        </w:rPr>
        <w:t xml:space="preserve"> </w:t>
      </w:r>
      <w:r>
        <w:rPr>
          <w:rFonts w:ascii="Arial Narrow" w:hAnsi="Arial Narrow" w:cs="Arial"/>
          <w:b/>
          <w:iCs/>
          <w:caps/>
          <w:noProof/>
          <w:color w:val="1F497D" w:themeColor="text2"/>
          <w:sz w:val="22"/>
          <w:szCs w:val="22"/>
        </w:rPr>
        <w:t>spesa procapite per interventi e servizi sociali dei comuni singoli o associati e delle amministrazioni regionali o provinciali</w:t>
      </w:r>
      <w:r w:rsidRPr="006A04F7">
        <w:rPr>
          <w:rFonts w:ascii="Arial Narrow" w:hAnsi="Arial Narrow" w:cs="Arial"/>
          <w:b/>
          <w:iCs/>
          <w:caps/>
          <w:noProof/>
          <w:color w:val="1F497D" w:themeColor="text2"/>
          <w:sz w:val="22"/>
          <w:szCs w:val="22"/>
        </w:rPr>
        <w:t>.</w:t>
      </w:r>
      <w:r w:rsidRPr="009F29C3">
        <w:rPr>
          <w:rFonts w:ascii="Arial" w:hAnsi="Arial" w:cs="Arial"/>
          <w:b/>
          <w:color w:val="1F497D" w:themeColor="text2"/>
          <w:sz w:val="26"/>
          <w:szCs w:val="26"/>
        </w:rPr>
        <w:t xml:space="preserve"> </w:t>
      </w:r>
      <w:r w:rsidRPr="006A04F7">
        <w:rPr>
          <w:rFonts w:ascii="Arial Narrow" w:hAnsi="Arial Narrow" w:cs="Arial"/>
          <w:iCs/>
          <w:noProof/>
          <w:color w:val="1F497D" w:themeColor="text2"/>
          <w:sz w:val="22"/>
          <w:szCs w:val="22"/>
        </w:rPr>
        <w:t>Ann</w:t>
      </w:r>
      <w:r>
        <w:rPr>
          <w:rFonts w:ascii="Arial Narrow" w:hAnsi="Arial Narrow" w:cs="Arial"/>
          <w:iCs/>
          <w:noProof/>
          <w:color w:val="1F497D" w:themeColor="text2"/>
          <w:sz w:val="22"/>
          <w:szCs w:val="22"/>
        </w:rPr>
        <w:t xml:space="preserve">o </w:t>
      </w:r>
      <w:r w:rsidRPr="006A04F7">
        <w:rPr>
          <w:rFonts w:ascii="Arial Narrow" w:hAnsi="Arial Narrow" w:cs="Arial"/>
          <w:iCs/>
          <w:noProof/>
          <w:color w:val="1F497D" w:themeColor="text2"/>
          <w:sz w:val="22"/>
          <w:szCs w:val="22"/>
        </w:rPr>
        <w:t>20</w:t>
      </w:r>
      <w:r>
        <w:rPr>
          <w:rFonts w:ascii="Arial Narrow" w:hAnsi="Arial Narrow" w:cs="Arial"/>
          <w:iCs/>
          <w:noProof/>
          <w:color w:val="1F497D" w:themeColor="text2"/>
          <w:sz w:val="22"/>
          <w:szCs w:val="22"/>
        </w:rPr>
        <w:t>21</w:t>
      </w:r>
      <w:r w:rsidR="00854FF7">
        <w:rPr>
          <w:rFonts w:ascii="Arial Narrow" w:hAnsi="Arial Narrow" w:cs="Arial"/>
          <w:iCs/>
          <w:noProof/>
          <w:color w:val="1F497D" w:themeColor="text2"/>
          <w:sz w:val="22"/>
          <w:szCs w:val="22"/>
        </w:rPr>
        <w:t xml:space="preserve">, </w:t>
      </w:r>
      <w:r w:rsidR="00854FF7">
        <w:rPr>
          <w:rFonts w:ascii="Arial Narrow" w:hAnsi="Arial Narrow" w:cs="Arial"/>
          <w:color w:val="1F497D" w:themeColor="text2"/>
          <w:sz w:val="22"/>
          <w:szCs w:val="22"/>
        </w:rPr>
        <w:t>valori assoluti</w:t>
      </w:r>
    </w:p>
    <w:p w14:paraId="5C964F8B" w14:textId="3E9D05D5" w:rsidR="006343EE" w:rsidRDefault="00156D6F">
      <w:r>
        <w:rPr>
          <w:noProof/>
        </w:rPr>
        <w:drawing>
          <wp:inline distT="0" distB="0" distL="0" distR="0" wp14:anchorId="28F58DFA" wp14:editId="2A2ACFB3">
            <wp:extent cx="6300470" cy="2299506"/>
            <wp:effectExtent l="0" t="0" r="0" b="0"/>
            <wp:docPr id="29" name="Gra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6343EE">
        <w:br w:type="page"/>
      </w:r>
    </w:p>
    <w:p w14:paraId="6A2DD3C4" w14:textId="68881C83" w:rsidR="0081292D" w:rsidRDefault="0081292D" w:rsidP="0081292D">
      <w:pPr>
        <w:autoSpaceDE w:val="0"/>
        <w:autoSpaceDN w:val="0"/>
        <w:adjustRightInd w:val="0"/>
        <w:spacing w:after="120"/>
        <w:jc w:val="both"/>
        <w:rPr>
          <w:rFonts w:ascii="Arial" w:hAnsi="Arial" w:cs="Arial"/>
          <w:sz w:val="22"/>
          <w:szCs w:val="22"/>
        </w:rPr>
      </w:pPr>
      <w:r w:rsidRPr="004A300E">
        <w:rPr>
          <w:rFonts w:ascii="Arial" w:hAnsi="Arial" w:cs="Arial"/>
          <w:sz w:val="22"/>
          <w:szCs w:val="22"/>
        </w:rPr>
        <w:lastRenderedPageBreak/>
        <w:t xml:space="preserve">Rispetto all’ultimo anno </w:t>
      </w:r>
      <w:proofErr w:type="spellStart"/>
      <w:r w:rsidRPr="004A300E">
        <w:rPr>
          <w:rFonts w:ascii="Arial" w:hAnsi="Arial" w:cs="Arial"/>
          <w:sz w:val="22"/>
          <w:szCs w:val="22"/>
        </w:rPr>
        <w:t>pre</w:t>
      </w:r>
      <w:proofErr w:type="spellEnd"/>
      <w:r w:rsidRPr="004A300E">
        <w:rPr>
          <w:rFonts w:ascii="Arial" w:hAnsi="Arial" w:cs="Arial"/>
          <w:sz w:val="22"/>
          <w:szCs w:val="22"/>
        </w:rPr>
        <w:t>-pandemia (2019) le persone prese in car</w:t>
      </w:r>
      <w:r w:rsidR="0031704E" w:rsidRPr="004A300E">
        <w:rPr>
          <w:rFonts w:ascii="Arial" w:hAnsi="Arial" w:cs="Arial"/>
          <w:sz w:val="22"/>
          <w:szCs w:val="22"/>
        </w:rPr>
        <w:t>i</w:t>
      </w:r>
      <w:r w:rsidRPr="004A300E">
        <w:rPr>
          <w:rFonts w:ascii="Arial" w:hAnsi="Arial" w:cs="Arial"/>
          <w:sz w:val="22"/>
          <w:szCs w:val="22"/>
        </w:rPr>
        <w:t>co dai servizi sociali sono aumentate</w:t>
      </w:r>
      <w:r w:rsidRPr="00316D3F">
        <w:rPr>
          <w:rFonts w:ascii="Arial" w:hAnsi="Arial" w:cs="Arial"/>
          <w:sz w:val="22"/>
          <w:szCs w:val="22"/>
        </w:rPr>
        <w:t xml:space="preserve"> del 4,2%, ma si è registrato un forte incremento degli utenti con problemi di povertà e disagio sociale (20,2%), che hanno superato 525mila unità o nuclei familiari, mentre è diminuita soprattutto la presa in carico di immigrati, Rom, Sinti e </w:t>
      </w:r>
      <w:proofErr w:type="spellStart"/>
      <w:r w:rsidRPr="00316D3F">
        <w:rPr>
          <w:rFonts w:ascii="Arial" w:hAnsi="Arial" w:cs="Arial"/>
          <w:sz w:val="22"/>
          <w:szCs w:val="22"/>
        </w:rPr>
        <w:t>Caminanti</w:t>
      </w:r>
      <w:proofErr w:type="spellEnd"/>
      <w:r w:rsidRPr="00316D3F">
        <w:rPr>
          <w:rFonts w:ascii="Arial" w:hAnsi="Arial" w:cs="Arial"/>
          <w:sz w:val="22"/>
          <w:szCs w:val="22"/>
        </w:rPr>
        <w:t xml:space="preserve"> (-17,1%).</w:t>
      </w:r>
    </w:p>
    <w:p w14:paraId="034D30C7" w14:textId="2F35E857" w:rsidR="0081292D" w:rsidRDefault="0081292D" w:rsidP="0081292D">
      <w:pPr>
        <w:autoSpaceDE w:val="0"/>
        <w:autoSpaceDN w:val="0"/>
        <w:adjustRightInd w:val="0"/>
        <w:spacing w:after="120"/>
        <w:jc w:val="both"/>
        <w:rPr>
          <w:rFonts w:ascii="Arial" w:hAnsi="Arial" w:cs="Arial"/>
          <w:sz w:val="22"/>
          <w:szCs w:val="22"/>
        </w:rPr>
      </w:pPr>
      <w:r>
        <w:rPr>
          <w:rFonts w:ascii="Arial" w:hAnsi="Arial" w:cs="Arial"/>
          <w:sz w:val="22"/>
          <w:szCs w:val="22"/>
        </w:rPr>
        <w:t>Dal punto di vista territoriale, le variazioni sono molto importanti e non sembrano corrispondere</w:t>
      </w:r>
      <w:r w:rsidR="00B64971">
        <w:rPr>
          <w:rFonts w:ascii="Arial" w:hAnsi="Arial" w:cs="Arial"/>
          <w:sz w:val="22"/>
          <w:szCs w:val="22"/>
        </w:rPr>
        <w:t xml:space="preserve"> alla distribuzione dei </w:t>
      </w:r>
      <w:r>
        <w:rPr>
          <w:rFonts w:ascii="Arial" w:hAnsi="Arial" w:cs="Arial"/>
          <w:sz w:val="22"/>
          <w:szCs w:val="22"/>
        </w:rPr>
        <w:t xml:space="preserve">bisogni dei residenti: i fruitori del servizio sociale professionale variano da un minimo di </w:t>
      </w:r>
      <w:r w:rsidR="0031704E">
        <w:rPr>
          <w:rFonts w:ascii="Arial" w:hAnsi="Arial" w:cs="Arial"/>
          <w:sz w:val="22"/>
          <w:szCs w:val="22"/>
        </w:rPr>
        <w:t>due</w:t>
      </w:r>
      <w:r>
        <w:rPr>
          <w:rFonts w:ascii="Arial" w:hAnsi="Arial" w:cs="Arial"/>
          <w:sz w:val="22"/>
          <w:szCs w:val="22"/>
        </w:rPr>
        <w:t xml:space="preserve"> su 100 abitanti al Sud a un massimo di </w:t>
      </w:r>
      <w:r w:rsidR="0031704E">
        <w:rPr>
          <w:rFonts w:ascii="Arial" w:hAnsi="Arial" w:cs="Arial"/>
          <w:sz w:val="22"/>
          <w:szCs w:val="22"/>
        </w:rPr>
        <w:t>cinque</w:t>
      </w:r>
      <w:r>
        <w:rPr>
          <w:rFonts w:ascii="Arial" w:hAnsi="Arial" w:cs="Arial"/>
          <w:sz w:val="22"/>
          <w:szCs w:val="22"/>
        </w:rPr>
        <w:t xml:space="preserve"> al Nord-est (</w:t>
      </w:r>
      <w:r w:rsidR="0031704E">
        <w:rPr>
          <w:rFonts w:ascii="Arial" w:hAnsi="Arial" w:cs="Arial"/>
          <w:sz w:val="22"/>
          <w:szCs w:val="22"/>
        </w:rPr>
        <w:t>quattro</w:t>
      </w:r>
      <w:r>
        <w:rPr>
          <w:rFonts w:ascii="Arial" w:hAnsi="Arial" w:cs="Arial"/>
          <w:sz w:val="22"/>
          <w:szCs w:val="22"/>
        </w:rPr>
        <w:t xml:space="preserve"> la media nazionale). La spesa corrispondente varia </w:t>
      </w:r>
      <w:r w:rsidR="00353D04">
        <w:rPr>
          <w:rFonts w:ascii="Arial" w:hAnsi="Arial" w:cs="Arial"/>
          <w:sz w:val="22"/>
          <w:szCs w:val="22"/>
        </w:rPr>
        <w:t xml:space="preserve">da </w:t>
      </w:r>
      <w:r w:rsidR="0031704E">
        <w:rPr>
          <w:rFonts w:ascii="Arial" w:hAnsi="Arial" w:cs="Arial"/>
          <w:sz w:val="22"/>
          <w:szCs w:val="22"/>
        </w:rPr>
        <w:t>quattro</w:t>
      </w:r>
      <w:r>
        <w:rPr>
          <w:rFonts w:ascii="Arial" w:hAnsi="Arial" w:cs="Arial"/>
          <w:sz w:val="22"/>
          <w:szCs w:val="22"/>
        </w:rPr>
        <w:t xml:space="preserve"> euro l’anno per abitante al Sud, a 12 euro al Nord-est (</w:t>
      </w:r>
      <w:r w:rsidR="0031704E">
        <w:rPr>
          <w:rFonts w:ascii="Arial" w:hAnsi="Arial" w:cs="Arial"/>
          <w:sz w:val="22"/>
          <w:szCs w:val="22"/>
        </w:rPr>
        <w:t>otto</w:t>
      </w:r>
      <w:r>
        <w:rPr>
          <w:rFonts w:ascii="Arial" w:hAnsi="Arial" w:cs="Arial"/>
          <w:sz w:val="22"/>
          <w:szCs w:val="22"/>
        </w:rPr>
        <w:t xml:space="preserve"> euro per abitante la media nazionale).  </w:t>
      </w:r>
    </w:p>
    <w:p w14:paraId="5ADA9BF7" w14:textId="77777777" w:rsidR="0031704E" w:rsidRDefault="0031704E" w:rsidP="0081292D">
      <w:pPr>
        <w:autoSpaceDE w:val="0"/>
        <w:autoSpaceDN w:val="0"/>
        <w:adjustRightInd w:val="0"/>
        <w:spacing w:after="120"/>
        <w:jc w:val="both"/>
        <w:rPr>
          <w:rFonts w:ascii="Arial" w:hAnsi="Arial" w:cs="Arial"/>
          <w:sz w:val="22"/>
          <w:szCs w:val="22"/>
        </w:rPr>
      </w:pPr>
    </w:p>
    <w:p w14:paraId="70414274" w14:textId="58E89A7D" w:rsidR="00952F4A" w:rsidRDefault="001D64C3" w:rsidP="00952F4A">
      <w:pPr>
        <w:spacing w:after="120"/>
        <w:jc w:val="both"/>
        <w:outlineLvl w:val="0"/>
        <w:rPr>
          <w:rFonts w:ascii="Georgia" w:hAnsi="Georgia" w:cs="Arial"/>
          <w:bCs/>
          <w:color w:val="1F497D" w:themeColor="text2"/>
          <w:sz w:val="28"/>
          <w:szCs w:val="28"/>
        </w:rPr>
      </w:pPr>
      <w:r>
        <w:rPr>
          <w:rFonts w:ascii="Arial" w:hAnsi="Arial" w:cs="Arial"/>
          <w:b/>
          <w:color w:val="1F497D" w:themeColor="text2"/>
          <w:sz w:val="26"/>
          <w:szCs w:val="26"/>
        </w:rPr>
        <w:t>Spesa in crescita per i</w:t>
      </w:r>
      <w:r w:rsidR="00D83087">
        <w:rPr>
          <w:rFonts w:ascii="Arial" w:hAnsi="Arial" w:cs="Arial"/>
          <w:b/>
          <w:color w:val="1F497D" w:themeColor="text2"/>
          <w:sz w:val="26"/>
          <w:szCs w:val="26"/>
        </w:rPr>
        <w:t xml:space="preserve"> servizi</w:t>
      </w:r>
      <w:r w:rsidR="00952F4A" w:rsidRPr="003F5C89">
        <w:rPr>
          <w:rFonts w:ascii="Arial" w:hAnsi="Arial" w:cs="Arial"/>
          <w:b/>
          <w:color w:val="1F497D" w:themeColor="text2"/>
          <w:sz w:val="26"/>
          <w:szCs w:val="26"/>
        </w:rPr>
        <w:t xml:space="preserve"> social</w:t>
      </w:r>
      <w:r w:rsidR="00D83087">
        <w:rPr>
          <w:rFonts w:ascii="Arial" w:hAnsi="Arial" w:cs="Arial"/>
          <w:b/>
          <w:color w:val="1F497D" w:themeColor="text2"/>
          <w:sz w:val="26"/>
          <w:szCs w:val="26"/>
        </w:rPr>
        <w:t>i</w:t>
      </w:r>
      <w:r w:rsidR="00952F4A" w:rsidRPr="003F5C89">
        <w:rPr>
          <w:rFonts w:ascii="Arial" w:hAnsi="Arial" w:cs="Arial"/>
          <w:b/>
          <w:color w:val="1F497D" w:themeColor="text2"/>
          <w:sz w:val="26"/>
          <w:szCs w:val="26"/>
        </w:rPr>
        <w:t xml:space="preserve"> </w:t>
      </w:r>
      <w:r>
        <w:rPr>
          <w:rFonts w:ascii="Arial" w:hAnsi="Arial" w:cs="Arial"/>
          <w:b/>
          <w:color w:val="1F497D" w:themeColor="text2"/>
          <w:sz w:val="26"/>
          <w:szCs w:val="26"/>
        </w:rPr>
        <w:t>destinati a</w:t>
      </w:r>
      <w:r w:rsidR="00952F4A" w:rsidRPr="003F5C89">
        <w:rPr>
          <w:rFonts w:ascii="Arial" w:hAnsi="Arial" w:cs="Arial"/>
          <w:b/>
          <w:color w:val="1F497D" w:themeColor="text2"/>
          <w:sz w:val="26"/>
          <w:szCs w:val="26"/>
        </w:rPr>
        <w:t xml:space="preserve"> famiglie e </w:t>
      </w:r>
      <w:r w:rsidR="00276FB9">
        <w:rPr>
          <w:rFonts w:ascii="Arial" w:hAnsi="Arial" w:cs="Arial"/>
          <w:b/>
          <w:color w:val="1F497D" w:themeColor="text2"/>
          <w:sz w:val="26"/>
          <w:szCs w:val="26"/>
        </w:rPr>
        <w:t>minori</w:t>
      </w:r>
      <w:r w:rsidR="00952F4A" w:rsidRPr="003F5C89">
        <w:rPr>
          <w:rFonts w:ascii="Arial" w:hAnsi="Arial" w:cs="Arial"/>
          <w:b/>
          <w:color w:val="1F497D" w:themeColor="text2"/>
          <w:sz w:val="26"/>
          <w:szCs w:val="26"/>
        </w:rPr>
        <w:t xml:space="preserve"> </w:t>
      </w:r>
    </w:p>
    <w:p w14:paraId="755C27CA" w14:textId="00992959" w:rsidR="00276FB9" w:rsidRDefault="00AE70C2" w:rsidP="00952F4A">
      <w:pPr>
        <w:spacing w:after="120"/>
        <w:jc w:val="both"/>
        <w:outlineLvl w:val="0"/>
        <w:rPr>
          <w:rFonts w:ascii="Arial" w:hAnsi="Arial" w:cs="Arial"/>
          <w:sz w:val="22"/>
          <w:szCs w:val="22"/>
        </w:rPr>
      </w:pPr>
      <w:r>
        <w:rPr>
          <w:rFonts w:ascii="Arial" w:hAnsi="Arial" w:cs="Arial"/>
          <w:sz w:val="22"/>
          <w:szCs w:val="22"/>
        </w:rPr>
        <w:t>La spesa sociale dei Comuni per le famiglie con figli</w:t>
      </w:r>
      <w:r w:rsidR="00B722BC">
        <w:rPr>
          <w:rFonts w:ascii="Arial" w:hAnsi="Arial" w:cs="Arial"/>
          <w:sz w:val="22"/>
          <w:szCs w:val="22"/>
        </w:rPr>
        <w:t>, al netto delle contribuzioni degli utenti e del Servizio Sanitario Nazionale,</w:t>
      </w:r>
      <w:r>
        <w:rPr>
          <w:rFonts w:ascii="Arial" w:hAnsi="Arial" w:cs="Arial"/>
          <w:sz w:val="22"/>
          <w:szCs w:val="22"/>
        </w:rPr>
        <w:t xml:space="preserve"> ammonta a 3,2 miliardi di euro nel 2021, con un incremento del 9,1% rispetto all’anno precedente. Il 41,3% </w:t>
      </w:r>
      <w:r w:rsidR="00AD0D11">
        <w:rPr>
          <w:rFonts w:ascii="Arial" w:hAnsi="Arial" w:cs="Arial"/>
          <w:sz w:val="22"/>
          <w:szCs w:val="22"/>
        </w:rPr>
        <w:t xml:space="preserve">delle spese sostenute </w:t>
      </w:r>
      <w:r w:rsidR="00B722BC">
        <w:rPr>
          <w:rFonts w:ascii="Arial" w:hAnsi="Arial" w:cs="Arial"/>
          <w:sz w:val="22"/>
          <w:szCs w:val="22"/>
        </w:rPr>
        <w:t xml:space="preserve">dai Comuni </w:t>
      </w:r>
      <w:r w:rsidR="00AD0D11">
        <w:rPr>
          <w:rFonts w:ascii="Arial" w:hAnsi="Arial" w:cs="Arial"/>
          <w:sz w:val="22"/>
          <w:szCs w:val="22"/>
        </w:rPr>
        <w:t>in</w:t>
      </w:r>
      <w:r w:rsidR="00B722BC">
        <w:rPr>
          <w:rFonts w:ascii="Arial" w:hAnsi="Arial" w:cs="Arial"/>
          <w:sz w:val="22"/>
          <w:szCs w:val="22"/>
        </w:rPr>
        <w:t xml:space="preserve"> quest’area di utenza riguarda</w:t>
      </w:r>
      <w:r w:rsidR="00AD0D11">
        <w:rPr>
          <w:rFonts w:ascii="Arial" w:hAnsi="Arial" w:cs="Arial"/>
          <w:sz w:val="22"/>
          <w:szCs w:val="22"/>
        </w:rPr>
        <w:t xml:space="preserve"> l</w:t>
      </w:r>
      <w:r>
        <w:rPr>
          <w:rFonts w:ascii="Arial" w:hAnsi="Arial" w:cs="Arial"/>
          <w:sz w:val="22"/>
          <w:szCs w:val="22"/>
        </w:rPr>
        <w:t>a gestione dei nidi d’infanzia</w:t>
      </w:r>
      <w:r w:rsidR="00B722BC">
        <w:rPr>
          <w:rFonts w:ascii="Arial" w:hAnsi="Arial" w:cs="Arial"/>
          <w:sz w:val="22"/>
          <w:szCs w:val="22"/>
        </w:rPr>
        <w:t>,</w:t>
      </w:r>
      <w:r w:rsidR="00AD0D11">
        <w:rPr>
          <w:rFonts w:ascii="Arial" w:hAnsi="Arial" w:cs="Arial"/>
          <w:sz w:val="22"/>
          <w:szCs w:val="22"/>
        </w:rPr>
        <w:t xml:space="preserve"> comunali o convenzionati</w:t>
      </w:r>
      <w:r w:rsidR="00EB1511">
        <w:rPr>
          <w:rFonts w:ascii="Arial" w:hAnsi="Arial" w:cs="Arial"/>
          <w:sz w:val="22"/>
          <w:szCs w:val="22"/>
        </w:rPr>
        <w:t xml:space="preserve"> e degli</w:t>
      </w:r>
      <w:r>
        <w:rPr>
          <w:rFonts w:ascii="Arial" w:hAnsi="Arial" w:cs="Arial"/>
          <w:sz w:val="22"/>
          <w:szCs w:val="22"/>
        </w:rPr>
        <w:t xml:space="preserve"> altri servizi socio-educativi</w:t>
      </w:r>
      <w:r w:rsidR="00AD0D11">
        <w:rPr>
          <w:rFonts w:ascii="Arial" w:hAnsi="Arial" w:cs="Arial"/>
          <w:sz w:val="22"/>
          <w:szCs w:val="22"/>
        </w:rPr>
        <w:t xml:space="preserve"> per i bambini sotto i tre anni</w:t>
      </w:r>
      <w:r>
        <w:rPr>
          <w:rFonts w:ascii="Arial" w:hAnsi="Arial" w:cs="Arial"/>
          <w:sz w:val="22"/>
          <w:szCs w:val="22"/>
        </w:rPr>
        <w:t xml:space="preserve">, che afferiscono ormai </w:t>
      </w:r>
      <w:r w:rsidR="00AD0D11">
        <w:rPr>
          <w:rFonts w:ascii="Arial" w:hAnsi="Arial" w:cs="Arial"/>
          <w:sz w:val="22"/>
          <w:szCs w:val="22"/>
        </w:rPr>
        <w:t>a</w:t>
      </w:r>
      <w:r>
        <w:rPr>
          <w:rFonts w:ascii="Arial" w:hAnsi="Arial" w:cs="Arial"/>
          <w:sz w:val="22"/>
          <w:szCs w:val="22"/>
        </w:rPr>
        <w:t>l</w:t>
      </w:r>
      <w:r w:rsidR="00D46ECF">
        <w:rPr>
          <w:rFonts w:ascii="Arial" w:hAnsi="Arial" w:cs="Arial"/>
          <w:sz w:val="22"/>
          <w:szCs w:val="22"/>
        </w:rPr>
        <w:t xml:space="preserve"> comparto dell’istruzione</w:t>
      </w:r>
      <w:r w:rsidR="00D46ECF">
        <w:rPr>
          <w:rStyle w:val="Rimandonotadichiusura"/>
          <w:rFonts w:ascii="Arial" w:hAnsi="Arial" w:cs="Arial"/>
          <w:sz w:val="22"/>
          <w:szCs w:val="22"/>
        </w:rPr>
        <w:endnoteReference w:id="2"/>
      </w:r>
      <w:r>
        <w:rPr>
          <w:rFonts w:ascii="Arial" w:hAnsi="Arial" w:cs="Arial"/>
          <w:sz w:val="22"/>
          <w:szCs w:val="22"/>
        </w:rPr>
        <w:t>.</w:t>
      </w:r>
    </w:p>
    <w:p w14:paraId="235636EC" w14:textId="77777777" w:rsidR="004A300E" w:rsidRDefault="009A6CC7" w:rsidP="004A300E">
      <w:pPr>
        <w:spacing w:after="120"/>
        <w:jc w:val="both"/>
        <w:outlineLvl w:val="0"/>
        <w:rPr>
          <w:rFonts w:ascii="Arial" w:hAnsi="Arial" w:cs="Arial"/>
          <w:sz w:val="22"/>
          <w:szCs w:val="22"/>
        </w:rPr>
      </w:pPr>
      <w:r>
        <w:rPr>
          <w:rFonts w:ascii="Arial" w:hAnsi="Arial" w:cs="Arial"/>
          <w:sz w:val="22"/>
          <w:szCs w:val="22"/>
        </w:rPr>
        <w:t xml:space="preserve">Un’altra quota rilevante delle spese dei Comuni per i minori </w:t>
      </w:r>
      <w:r w:rsidR="00B722BC">
        <w:rPr>
          <w:rFonts w:ascii="Arial" w:hAnsi="Arial" w:cs="Arial"/>
          <w:sz w:val="22"/>
          <w:szCs w:val="22"/>
        </w:rPr>
        <w:t xml:space="preserve">e per le famiglie </w:t>
      </w:r>
      <w:r w:rsidR="00EB1511">
        <w:rPr>
          <w:rFonts w:ascii="Arial" w:hAnsi="Arial" w:cs="Arial"/>
          <w:sz w:val="22"/>
          <w:szCs w:val="22"/>
        </w:rPr>
        <w:t>è assorbita da</w:t>
      </w:r>
      <w:r>
        <w:rPr>
          <w:rFonts w:ascii="Arial" w:hAnsi="Arial" w:cs="Arial"/>
          <w:sz w:val="22"/>
          <w:szCs w:val="22"/>
        </w:rPr>
        <w:t>i centri</w:t>
      </w:r>
      <w:r w:rsidR="00C9104E" w:rsidRPr="00C9104E">
        <w:rPr>
          <w:rFonts w:ascii="Arial" w:hAnsi="Arial" w:cs="Arial"/>
          <w:sz w:val="22"/>
          <w:szCs w:val="22"/>
        </w:rPr>
        <w:t xml:space="preserve"> </w:t>
      </w:r>
      <w:r w:rsidR="00C9104E">
        <w:rPr>
          <w:rFonts w:ascii="Arial" w:hAnsi="Arial" w:cs="Arial"/>
          <w:sz w:val="22"/>
          <w:szCs w:val="22"/>
        </w:rPr>
        <w:t>di accoglienza</w:t>
      </w:r>
      <w:r>
        <w:rPr>
          <w:rFonts w:ascii="Arial" w:hAnsi="Arial" w:cs="Arial"/>
          <w:sz w:val="22"/>
          <w:szCs w:val="22"/>
        </w:rPr>
        <w:t xml:space="preserve"> e </w:t>
      </w:r>
      <w:r w:rsidR="004A300E">
        <w:rPr>
          <w:rFonts w:ascii="Arial" w:hAnsi="Arial" w:cs="Arial"/>
          <w:sz w:val="22"/>
          <w:szCs w:val="22"/>
        </w:rPr>
        <w:t>dal</w:t>
      </w:r>
      <w:r>
        <w:rPr>
          <w:rFonts w:ascii="Arial" w:hAnsi="Arial" w:cs="Arial"/>
          <w:sz w:val="22"/>
          <w:szCs w:val="22"/>
        </w:rPr>
        <w:t xml:space="preserve">le strutture residenziali (22%), </w:t>
      </w:r>
      <w:r w:rsidR="00B722BC">
        <w:rPr>
          <w:rFonts w:ascii="Arial" w:hAnsi="Arial" w:cs="Arial"/>
          <w:sz w:val="22"/>
          <w:szCs w:val="22"/>
        </w:rPr>
        <w:t>dove vengono</w:t>
      </w:r>
      <w:r>
        <w:rPr>
          <w:rFonts w:ascii="Arial" w:hAnsi="Arial" w:cs="Arial"/>
          <w:sz w:val="22"/>
          <w:szCs w:val="22"/>
        </w:rPr>
        <w:t xml:space="preserve"> accol</w:t>
      </w:r>
      <w:r w:rsidR="00B722BC">
        <w:rPr>
          <w:rFonts w:ascii="Arial" w:hAnsi="Arial" w:cs="Arial"/>
          <w:sz w:val="22"/>
          <w:szCs w:val="22"/>
        </w:rPr>
        <w:t>ti</w:t>
      </w:r>
      <w:r>
        <w:rPr>
          <w:rFonts w:ascii="Arial" w:hAnsi="Arial" w:cs="Arial"/>
          <w:sz w:val="22"/>
          <w:szCs w:val="22"/>
        </w:rPr>
        <w:t xml:space="preserve"> sia i minori fuori dalla famiglia, sia </w:t>
      </w:r>
      <w:r w:rsidR="00E72E62">
        <w:rPr>
          <w:rFonts w:ascii="Arial" w:hAnsi="Arial" w:cs="Arial"/>
          <w:sz w:val="22"/>
          <w:szCs w:val="22"/>
        </w:rPr>
        <w:t xml:space="preserve">le </w:t>
      </w:r>
      <w:r>
        <w:rPr>
          <w:rFonts w:ascii="Arial" w:hAnsi="Arial" w:cs="Arial"/>
          <w:sz w:val="22"/>
          <w:szCs w:val="22"/>
        </w:rPr>
        <w:t xml:space="preserve">donne e </w:t>
      </w:r>
      <w:r w:rsidR="00E72E62">
        <w:rPr>
          <w:rFonts w:ascii="Arial" w:hAnsi="Arial" w:cs="Arial"/>
          <w:sz w:val="22"/>
          <w:szCs w:val="22"/>
        </w:rPr>
        <w:t xml:space="preserve">i </w:t>
      </w:r>
      <w:r>
        <w:rPr>
          <w:rFonts w:ascii="Arial" w:hAnsi="Arial" w:cs="Arial"/>
          <w:sz w:val="22"/>
          <w:szCs w:val="22"/>
        </w:rPr>
        <w:t xml:space="preserve">genitori in difficoltà. </w:t>
      </w:r>
      <w:r w:rsidR="004A300E">
        <w:rPr>
          <w:rFonts w:ascii="Arial" w:hAnsi="Arial" w:cs="Arial"/>
          <w:sz w:val="22"/>
          <w:szCs w:val="22"/>
        </w:rPr>
        <w:t>L’offerta di strutture residenziali interessa un’ampia quota di Comuni (76,3%), soprattutto al Nord-est (92,6%) e al Nord-ovest (90,7%), meno al Centro (74,1%) e al Sud (56,5%) e soprattutto nelle Isole (41,7%).</w:t>
      </w:r>
    </w:p>
    <w:p w14:paraId="59CC0844" w14:textId="32EE668E" w:rsidR="004D0CCA" w:rsidRDefault="009A6CC7" w:rsidP="00952F4A">
      <w:pPr>
        <w:spacing w:after="120"/>
        <w:jc w:val="both"/>
        <w:outlineLvl w:val="0"/>
        <w:rPr>
          <w:rFonts w:ascii="Arial" w:hAnsi="Arial" w:cs="Arial"/>
          <w:sz w:val="22"/>
          <w:szCs w:val="22"/>
        </w:rPr>
      </w:pPr>
      <w:r>
        <w:rPr>
          <w:rFonts w:ascii="Arial" w:hAnsi="Arial" w:cs="Arial"/>
          <w:sz w:val="22"/>
          <w:szCs w:val="22"/>
        </w:rPr>
        <w:t xml:space="preserve">Gli utenti delle strutture </w:t>
      </w:r>
      <w:r w:rsidR="00837AF4">
        <w:rPr>
          <w:rFonts w:ascii="Arial" w:hAnsi="Arial" w:cs="Arial"/>
          <w:sz w:val="22"/>
          <w:szCs w:val="22"/>
        </w:rPr>
        <w:t>c</w:t>
      </w:r>
      <w:r>
        <w:rPr>
          <w:rFonts w:ascii="Arial" w:hAnsi="Arial" w:cs="Arial"/>
          <w:sz w:val="22"/>
          <w:szCs w:val="22"/>
        </w:rPr>
        <w:t xml:space="preserve">omunali e private convenzionate </w:t>
      </w:r>
      <w:r w:rsidR="00B722BC">
        <w:rPr>
          <w:rFonts w:ascii="Arial" w:hAnsi="Arial" w:cs="Arial"/>
          <w:sz w:val="22"/>
          <w:szCs w:val="22"/>
        </w:rPr>
        <w:t>nel 2021 erano circa 43.600 e</w:t>
      </w:r>
      <w:r w:rsidR="00B42A28">
        <w:rPr>
          <w:rFonts w:ascii="Arial" w:hAnsi="Arial" w:cs="Arial"/>
          <w:sz w:val="22"/>
          <w:szCs w:val="22"/>
        </w:rPr>
        <w:t xml:space="preserve"> </w:t>
      </w:r>
      <w:r w:rsidR="002F6780">
        <w:rPr>
          <w:rFonts w:ascii="Arial" w:hAnsi="Arial" w:cs="Arial"/>
          <w:sz w:val="22"/>
          <w:szCs w:val="22"/>
        </w:rPr>
        <w:t xml:space="preserve">rispetto a </w:t>
      </w:r>
      <w:r w:rsidR="001D64C3">
        <w:rPr>
          <w:rFonts w:ascii="Arial" w:hAnsi="Arial" w:cs="Arial"/>
          <w:sz w:val="22"/>
          <w:szCs w:val="22"/>
        </w:rPr>
        <w:t>10</w:t>
      </w:r>
      <w:r w:rsidR="002F6780">
        <w:rPr>
          <w:rFonts w:ascii="Arial" w:hAnsi="Arial" w:cs="Arial"/>
          <w:sz w:val="22"/>
          <w:szCs w:val="22"/>
        </w:rPr>
        <w:t xml:space="preserve"> anni prima </w:t>
      </w:r>
      <w:r w:rsidR="00E44A10">
        <w:rPr>
          <w:rFonts w:ascii="Arial" w:hAnsi="Arial" w:cs="Arial"/>
          <w:sz w:val="22"/>
          <w:szCs w:val="22"/>
        </w:rPr>
        <w:t xml:space="preserve">sono </w:t>
      </w:r>
      <w:r w:rsidR="000354A8">
        <w:rPr>
          <w:rFonts w:ascii="Arial" w:hAnsi="Arial" w:cs="Arial"/>
          <w:sz w:val="22"/>
          <w:szCs w:val="22"/>
        </w:rPr>
        <w:t>aumentati del 23,8%</w:t>
      </w:r>
      <w:r w:rsidR="00B722BC">
        <w:rPr>
          <w:rFonts w:ascii="Arial" w:hAnsi="Arial" w:cs="Arial"/>
          <w:sz w:val="22"/>
          <w:szCs w:val="22"/>
        </w:rPr>
        <w:t>.</w:t>
      </w:r>
      <w:r w:rsidR="00B42A28">
        <w:rPr>
          <w:rFonts w:ascii="Arial" w:hAnsi="Arial" w:cs="Arial"/>
          <w:sz w:val="22"/>
          <w:szCs w:val="22"/>
        </w:rPr>
        <w:t xml:space="preserve"> </w:t>
      </w:r>
      <w:r w:rsidR="00B722BC">
        <w:rPr>
          <w:rFonts w:ascii="Arial" w:hAnsi="Arial" w:cs="Arial"/>
          <w:sz w:val="22"/>
          <w:szCs w:val="22"/>
        </w:rPr>
        <w:t>L</w:t>
      </w:r>
      <w:r w:rsidR="00B42A28">
        <w:rPr>
          <w:rFonts w:ascii="Arial" w:hAnsi="Arial" w:cs="Arial"/>
          <w:sz w:val="22"/>
          <w:szCs w:val="22"/>
        </w:rPr>
        <w:t>a spesa</w:t>
      </w:r>
      <w:r w:rsidR="00B42A28" w:rsidRPr="00B42A28">
        <w:rPr>
          <w:rFonts w:ascii="Arial" w:hAnsi="Arial" w:cs="Arial"/>
          <w:sz w:val="22"/>
          <w:szCs w:val="22"/>
        </w:rPr>
        <w:t xml:space="preserve"> </w:t>
      </w:r>
      <w:r w:rsidR="00B722BC">
        <w:rPr>
          <w:rFonts w:ascii="Arial" w:hAnsi="Arial" w:cs="Arial"/>
          <w:sz w:val="22"/>
          <w:szCs w:val="22"/>
        </w:rPr>
        <w:t xml:space="preserve">dei Comuni nello stesso </w:t>
      </w:r>
      <w:r w:rsidR="002F6780">
        <w:rPr>
          <w:rFonts w:ascii="Arial" w:hAnsi="Arial" w:cs="Arial"/>
          <w:sz w:val="22"/>
          <w:szCs w:val="22"/>
        </w:rPr>
        <w:t>periodo è aumentata del 38,2% (27,1% in termini reali) e nel 2021</w:t>
      </w:r>
      <w:r w:rsidR="00B722BC">
        <w:rPr>
          <w:rFonts w:ascii="Arial" w:hAnsi="Arial" w:cs="Arial"/>
          <w:sz w:val="22"/>
          <w:szCs w:val="22"/>
        </w:rPr>
        <w:t xml:space="preserve"> è stata</w:t>
      </w:r>
      <w:r w:rsidR="00B42A28">
        <w:rPr>
          <w:rFonts w:ascii="Arial" w:hAnsi="Arial" w:cs="Arial"/>
          <w:sz w:val="22"/>
          <w:szCs w:val="22"/>
        </w:rPr>
        <w:t xml:space="preserve"> </w:t>
      </w:r>
      <w:r w:rsidR="00B722BC">
        <w:rPr>
          <w:rFonts w:ascii="Arial" w:hAnsi="Arial" w:cs="Arial"/>
          <w:sz w:val="22"/>
          <w:szCs w:val="22"/>
        </w:rPr>
        <w:t>di</w:t>
      </w:r>
      <w:r w:rsidR="00B42A28">
        <w:rPr>
          <w:rFonts w:ascii="Arial" w:hAnsi="Arial" w:cs="Arial"/>
          <w:sz w:val="22"/>
          <w:szCs w:val="22"/>
        </w:rPr>
        <w:t xml:space="preserve"> 700 milioni</w:t>
      </w:r>
      <w:r w:rsidR="002F6780">
        <w:rPr>
          <w:rFonts w:ascii="Arial" w:hAnsi="Arial" w:cs="Arial"/>
          <w:sz w:val="22"/>
          <w:szCs w:val="22"/>
        </w:rPr>
        <w:t xml:space="preserve"> di euro</w:t>
      </w:r>
      <w:r w:rsidR="000354A8">
        <w:rPr>
          <w:rFonts w:ascii="Arial" w:hAnsi="Arial" w:cs="Arial"/>
          <w:sz w:val="22"/>
          <w:szCs w:val="22"/>
        </w:rPr>
        <w:t>.</w:t>
      </w:r>
      <w:r w:rsidR="00FF12A3">
        <w:rPr>
          <w:rFonts w:ascii="Arial" w:hAnsi="Arial" w:cs="Arial"/>
          <w:sz w:val="22"/>
          <w:szCs w:val="22"/>
        </w:rPr>
        <w:t xml:space="preserve"> L’incremento </w:t>
      </w:r>
      <w:r w:rsidR="00B42A28">
        <w:rPr>
          <w:rFonts w:ascii="Arial" w:hAnsi="Arial" w:cs="Arial"/>
          <w:sz w:val="22"/>
          <w:szCs w:val="22"/>
        </w:rPr>
        <w:t>è</w:t>
      </w:r>
      <w:r w:rsidR="00FF12A3">
        <w:rPr>
          <w:rFonts w:ascii="Arial" w:hAnsi="Arial" w:cs="Arial"/>
          <w:sz w:val="22"/>
          <w:szCs w:val="22"/>
        </w:rPr>
        <w:t xml:space="preserve"> </w:t>
      </w:r>
      <w:r w:rsidR="00840B5F">
        <w:rPr>
          <w:rFonts w:ascii="Arial" w:hAnsi="Arial" w:cs="Arial"/>
          <w:sz w:val="22"/>
          <w:szCs w:val="22"/>
        </w:rPr>
        <w:t xml:space="preserve">dovuto </w:t>
      </w:r>
      <w:r w:rsidR="00FF12A3">
        <w:rPr>
          <w:rFonts w:ascii="Arial" w:hAnsi="Arial" w:cs="Arial"/>
          <w:sz w:val="22"/>
          <w:szCs w:val="22"/>
        </w:rPr>
        <w:t xml:space="preserve">in parte alla maggiore disponibilità di strutture che accolgono ragazze madri e nuclei </w:t>
      </w:r>
      <w:r w:rsidR="00837AF4">
        <w:rPr>
          <w:rFonts w:ascii="Arial" w:hAnsi="Arial" w:cs="Arial"/>
          <w:sz w:val="22"/>
          <w:szCs w:val="22"/>
        </w:rPr>
        <w:t xml:space="preserve">familiari </w:t>
      </w:r>
      <w:r w:rsidR="00FF12A3">
        <w:rPr>
          <w:rFonts w:ascii="Arial" w:hAnsi="Arial" w:cs="Arial"/>
          <w:sz w:val="22"/>
          <w:szCs w:val="22"/>
        </w:rPr>
        <w:t xml:space="preserve">in </w:t>
      </w:r>
      <w:r w:rsidR="004D0CCA">
        <w:rPr>
          <w:rFonts w:ascii="Arial" w:hAnsi="Arial" w:cs="Arial"/>
          <w:sz w:val="22"/>
          <w:szCs w:val="22"/>
        </w:rPr>
        <w:t>difficoltà; infatti,</w:t>
      </w:r>
      <w:r w:rsidR="00837AF4">
        <w:rPr>
          <w:rFonts w:ascii="Arial" w:hAnsi="Arial" w:cs="Arial"/>
          <w:sz w:val="22"/>
          <w:szCs w:val="22"/>
        </w:rPr>
        <w:t xml:space="preserve"> solo una parte delle persone accolte nelle strutture sono minori</w:t>
      </w:r>
      <w:r w:rsidR="00E72E62">
        <w:rPr>
          <w:rFonts w:ascii="Arial" w:hAnsi="Arial" w:cs="Arial"/>
          <w:sz w:val="22"/>
          <w:szCs w:val="22"/>
        </w:rPr>
        <w:t xml:space="preserve"> </w:t>
      </w:r>
      <w:r w:rsidR="00837AF4">
        <w:rPr>
          <w:rFonts w:ascii="Arial" w:hAnsi="Arial" w:cs="Arial"/>
          <w:sz w:val="22"/>
          <w:szCs w:val="22"/>
        </w:rPr>
        <w:t>di 18 anni</w:t>
      </w:r>
      <w:r w:rsidR="00316D3F" w:rsidRPr="00316D3F">
        <w:rPr>
          <w:rFonts w:ascii="Arial" w:hAnsi="Arial" w:cs="Arial"/>
          <w:sz w:val="22"/>
          <w:szCs w:val="22"/>
        </w:rPr>
        <w:t xml:space="preserve"> e il numero di minori ospiti nelle strutture residenziali in Italia è sostanzialmente stabile</w:t>
      </w:r>
      <w:r w:rsidR="00316D3F">
        <w:rPr>
          <w:rStyle w:val="Rimandonotadichiusura"/>
          <w:rFonts w:ascii="Arial" w:hAnsi="Arial" w:cs="Arial"/>
          <w:sz w:val="22"/>
          <w:szCs w:val="22"/>
        </w:rPr>
        <w:t xml:space="preserve"> </w:t>
      </w:r>
      <w:r w:rsidR="00837AF4">
        <w:rPr>
          <w:rStyle w:val="Rimandonotadichiusura"/>
          <w:rFonts w:ascii="Arial" w:hAnsi="Arial" w:cs="Arial"/>
          <w:sz w:val="22"/>
          <w:szCs w:val="22"/>
        </w:rPr>
        <w:endnoteReference w:id="3"/>
      </w:r>
      <w:r w:rsidR="00FF12A3">
        <w:rPr>
          <w:rFonts w:ascii="Arial" w:hAnsi="Arial" w:cs="Arial"/>
          <w:sz w:val="22"/>
          <w:szCs w:val="22"/>
        </w:rPr>
        <w:t>.</w:t>
      </w:r>
      <w:r w:rsidR="002F6780">
        <w:rPr>
          <w:rFonts w:ascii="Arial" w:hAnsi="Arial" w:cs="Arial"/>
          <w:sz w:val="22"/>
          <w:szCs w:val="22"/>
        </w:rPr>
        <w:t xml:space="preserve"> Nonostante questo tipo di assistenza sia indispensabile per affrontare le situazioni di emergenza sociale che riguardano i bambini e i ragazzi, è ampiamente riconosciuta la necessità di prevenire, laddove possibile, l’allontanamento dalla famiglia di origine. </w:t>
      </w:r>
      <w:r w:rsidR="00CC2AE9">
        <w:rPr>
          <w:rFonts w:ascii="Arial" w:hAnsi="Arial" w:cs="Arial"/>
          <w:sz w:val="22"/>
          <w:szCs w:val="22"/>
        </w:rPr>
        <w:t>Un</w:t>
      </w:r>
      <w:r w:rsidR="00840B5F">
        <w:rPr>
          <w:rFonts w:ascii="Arial" w:hAnsi="Arial" w:cs="Arial"/>
          <w:sz w:val="22"/>
          <w:szCs w:val="22"/>
        </w:rPr>
        <w:t>a soluzione</w:t>
      </w:r>
      <w:r w:rsidR="00CC2AE9">
        <w:rPr>
          <w:rFonts w:ascii="Arial" w:hAnsi="Arial" w:cs="Arial"/>
          <w:sz w:val="22"/>
          <w:szCs w:val="22"/>
        </w:rPr>
        <w:t xml:space="preserve"> più adeguata </w:t>
      </w:r>
      <w:r w:rsidR="002F6780">
        <w:rPr>
          <w:rFonts w:ascii="Arial" w:hAnsi="Arial" w:cs="Arial"/>
          <w:sz w:val="22"/>
          <w:szCs w:val="22"/>
        </w:rPr>
        <w:t xml:space="preserve">ai bisogni di cura </w:t>
      </w:r>
      <w:r w:rsidR="00CC2AE9">
        <w:rPr>
          <w:rFonts w:ascii="Arial" w:hAnsi="Arial" w:cs="Arial"/>
          <w:sz w:val="22"/>
          <w:szCs w:val="22"/>
        </w:rPr>
        <w:t xml:space="preserve">dei bambini e degli adolescenti fuori dalla famiglia di origine è l’affidamento familiare, che però non ha </w:t>
      </w:r>
      <w:r w:rsidR="0035215C">
        <w:rPr>
          <w:rFonts w:ascii="Arial" w:hAnsi="Arial" w:cs="Arial"/>
          <w:sz w:val="22"/>
          <w:szCs w:val="22"/>
        </w:rPr>
        <w:t>fatto registrare</w:t>
      </w:r>
      <w:r w:rsidR="00CC2AE9">
        <w:rPr>
          <w:rFonts w:ascii="Arial" w:hAnsi="Arial" w:cs="Arial"/>
          <w:sz w:val="22"/>
          <w:szCs w:val="22"/>
        </w:rPr>
        <w:t xml:space="preserve"> </w:t>
      </w:r>
      <w:r w:rsidR="00703608">
        <w:rPr>
          <w:rFonts w:ascii="Arial" w:hAnsi="Arial" w:cs="Arial"/>
          <w:sz w:val="22"/>
          <w:szCs w:val="22"/>
        </w:rPr>
        <w:t>alcun</w:t>
      </w:r>
      <w:r w:rsidR="00CC2AE9">
        <w:rPr>
          <w:rFonts w:ascii="Arial" w:hAnsi="Arial" w:cs="Arial"/>
          <w:sz w:val="22"/>
          <w:szCs w:val="22"/>
        </w:rPr>
        <w:t xml:space="preserve"> incremento</w:t>
      </w:r>
      <w:r w:rsidR="0035215C">
        <w:rPr>
          <w:rFonts w:ascii="Arial" w:hAnsi="Arial" w:cs="Arial"/>
          <w:sz w:val="22"/>
          <w:szCs w:val="22"/>
        </w:rPr>
        <w:t xml:space="preserve"> </w:t>
      </w:r>
      <w:r w:rsidR="004F038F">
        <w:rPr>
          <w:rFonts w:ascii="Arial" w:hAnsi="Arial" w:cs="Arial"/>
          <w:sz w:val="22"/>
          <w:szCs w:val="22"/>
        </w:rPr>
        <w:t>significativo</w:t>
      </w:r>
      <w:r w:rsidR="00CC2AE9">
        <w:rPr>
          <w:rFonts w:ascii="Arial" w:hAnsi="Arial" w:cs="Arial"/>
          <w:sz w:val="22"/>
          <w:szCs w:val="22"/>
        </w:rPr>
        <w:t xml:space="preserve"> </w:t>
      </w:r>
      <w:r w:rsidR="0035215C">
        <w:rPr>
          <w:rFonts w:ascii="Arial" w:hAnsi="Arial" w:cs="Arial"/>
          <w:sz w:val="22"/>
          <w:szCs w:val="22"/>
        </w:rPr>
        <w:t>nell’offerta socio-assistenziale dei Comuni</w:t>
      </w:r>
      <w:r w:rsidR="00840B5F">
        <w:rPr>
          <w:rFonts w:ascii="Arial" w:hAnsi="Arial" w:cs="Arial"/>
          <w:sz w:val="22"/>
          <w:szCs w:val="22"/>
        </w:rPr>
        <w:t xml:space="preserve">. </w:t>
      </w:r>
    </w:p>
    <w:p w14:paraId="1B3D8441" w14:textId="192C57E7" w:rsidR="000354A8" w:rsidRDefault="004F038F" w:rsidP="00952F4A">
      <w:pPr>
        <w:spacing w:after="120"/>
        <w:jc w:val="both"/>
        <w:outlineLvl w:val="0"/>
        <w:rPr>
          <w:rFonts w:ascii="Arial" w:hAnsi="Arial" w:cs="Arial"/>
          <w:sz w:val="22"/>
          <w:szCs w:val="22"/>
        </w:rPr>
      </w:pPr>
      <w:r>
        <w:rPr>
          <w:rFonts w:ascii="Arial" w:hAnsi="Arial" w:cs="Arial"/>
          <w:sz w:val="22"/>
          <w:szCs w:val="22"/>
        </w:rPr>
        <w:t>Il numero dei minori presi in carico dal servizio per l’affido, pur con delle oscillazioni, si è mantenuto poco al di sopra di 17</w:t>
      </w:r>
      <w:r w:rsidR="004D0CCA">
        <w:rPr>
          <w:rFonts w:ascii="Arial" w:hAnsi="Arial" w:cs="Arial"/>
          <w:sz w:val="22"/>
          <w:szCs w:val="22"/>
        </w:rPr>
        <w:t>mila</w:t>
      </w:r>
      <w:r>
        <w:rPr>
          <w:rFonts w:ascii="Arial" w:hAnsi="Arial" w:cs="Arial"/>
          <w:sz w:val="22"/>
          <w:szCs w:val="22"/>
        </w:rPr>
        <w:t xml:space="preserve"> l’anno. L</w:t>
      </w:r>
      <w:r w:rsidR="00840B5F">
        <w:rPr>
          <w:rFonts w:ascii="Arial" w:hAnsi="Arial" w:cs="Arial"/>
          <w:sz w:val="22"/>
          <w:szCs w:val="22"/>
        </w:rPr>
        <w:t xml:space="preserve">e famiglie beneficiarie dei contributi comunali per l’affido familiare sono passate </w:t>
      </w:r>
      <w:r w:rsidR="00CC2AE9">
        <w:rPr>
          <w:rFonts w:ascii="Arial" w:hAnsi="Arial" w:cs="Arial"/>
          <w:sz w:val="22"/>
          <w:szCs w:val="22"/>
        </w:rPr>
        <w:t xml:space="preserve">da quasi 16.500 nel 2011 </w:t>
      </w:r>
      <w:r w:rsidR="00840B5F">
        <w:rPr>
          <w:rFonts w:ascii="Arial" w:hAnsi="Arial" w:cs="Arial"/>
          <w:sz w:val="22"/>
          <w:szCs w:val="22"/>
        </w:rPr>
        <w:t>a</w:t>
      </w:r>
      <w:r w:rsidR="00CC2AE9">
        <w:rPr>
          <w:rFonts w:ascii="Arial" w:hAnsi="Arial" w:cs="Arial"/>
          <w:sz w:val="22"/>
          <w:szCs w:val="22"/>
        </w:rPr>
        <w:t xml:space="preserve"> poco più di 15.500 nel 2021</w:t>
      </w:r>
      <w:r>
        <w:rPr>
          <w:rFonts w:ascii="Arial" w:hAnsi="Arial" w:cs="Arial"/>
          <w:sz w:val="22"/>
          <w:szCs w:val="22"/>
        </w:rPr>
        <w:t>, mentre l</w:t>
      </w:r>
      <w:r w:rsidR="000354A8">
        <w:rPr>
          <w:rFonts w:ascii="Arial" w:hAnsi="Arial" w:cs="Arial"/>
          <w:sz w:val="22"/>
          <w:szCs w:val="22"/>
        </w:rPr>
        <w:t xml:space="preserve">a spesa </w:t>
      </w:r>
      <w:r w:rsidR="00B42A28">
        <w:rPr>
          <w:rFonts w:ascii="Arial" w:hAnsi="Arial" w:cs="Arial"/>
          <w:sz w:val="22"/>
          <w:szCs w:val="22"/>
        </w:rPr>
        <w:t xml:space="preserve">corrispondente </w:t>
      </w:r>
      <w:r w:rsidR="00CC2AE9">
        <w:rPr>
          <w:rFonts w:ascii="Arial" w:hAnsi="Arial" w:cs="Arial"/>
          <w:sz w:val="22"/>
          <w:szCs w:val="22"/>
        </w:rPr>
        <w:t xml:space="preserve">è passata </w:t>
      </w:r>
      <w:r w:rsidR="00B42A28">
        <w:rPr>
          <w:rFonts w:ascii="Arial" w:hAnsi="Arial" w:cs="Arial"/>
          <w:sz w:val="22"/>
          <w:szCs w:val="22"/>
        </w:rPr>
        <w:t>da 59 a 62 milioni (</w:t>
      </w:r>
      <w:r w:rsidR="000356D5">
        <w:rPr>
          <w:rFonts w:ascii="Arial" w:hAnsi="Arial" w:cs="Arial"/>
          <w:sz w:val="22"/>
          <w:szCs w:val="22"/>
        </w:rPr>
        <w:t>-3,7% in termini reali)</w:t>
      </w:r>
      <w:r w:rsidR="00B42A28">
        <w:rPr>
          <w:rFonts w:ascii="Arial" w:hAnsi="Arial" w:cs="Arial"/>
          <w:sz w:val="22"/>
          <w:szCs w:val="22"/>
        </w:rPr>
        <w:t xml:space="preserve">. </w:t>
      </w:r>
    </w:p>
    <w:p w14:paraId="5534F1AD" w14:textId="77777777" w:rsidR="00316D3F" w:rsidRDefault="00316D3F" w:rsidP="00952F4A">
      <w:pPr>
        <w:spacing w:after="120"/>
        <w:jc w:val="both"/>
        <w:outlineLvl w:val="0"/>
        <w:rPr>
          <w:rFonts w:ascii="Arial" w:hAnsi="Arial" w:cs="Arial"/>
          <w:sz w:val="22"/>
          <w:szCs w:val="22"/>
        </w:rPr>
      </w:pPr>
    </w:p>
    <w:p w14:paraId="64211E0C" w14:textId="7518A090" w:rsidR="000354A8" w:rsidRDefault="001B07FF" w:rsidP="00952F4A">
      <w:pPr>
        <w:spacing w:after="120"/>
        <w:jc w:val="both"/>
        <w:outlineLvl w:val="0"/>
        <w:rPr>
          <w:rFonts w:ascii="Arial" w:hAnsi="Arial" w:cs="Arial"/>
          <w:sz w:val="22"/>
          <w:szCs w:val="22"/>
        </w:rPr>
      </w:pPr>
      <w:r w:rsidRPr="005D02DA">
        <w:rPr>
          <w:rFonts w:ascii="Arial Black" w:hAnsi="Arial Black" w:cs="Arial"/>
          <w:iCs/>
          <w:noProof/>
          <w:color w:val="1F497D" w:themeColor="text2"/>
          <w:sz w:val="22"/>
          <w:szCs w:val="22"/>
        </w:rPr>
        <w:t xml:space="preserve">FIGURA </w:t>
      </w:r>
      <w:r w:rsidR="003C1FB6">
        <w:rPr>
          <w:rFonts w:ascii="Arial Black" w:hAnsi="Arial Black" w:cs="Arial"/>
          <w:iCs/>
          <w:noProof/>
          <w:color w:val="1F497D" w:themeColor="text2"/>
          <w:sz w:val="22"/>
          <w:szCs w:val="22"/>
        </w:rPr>
        <w:t>2</w:t>
      </w:r>
      <w:r w:rsidRPr="005D02DA">
        <w:rPr>
          <w:rFonts w:ascii="Arial Black" w:hAnsi="Arial Black" w:cs="Arial"/>
          <w:iCs/>
          <w:noProof/>
          <w:color w:val="1F497D" w:themeColor="text2"/>
          <w:sz w:val="22"/>
          <w:szCs w:val="22"/>
        </w:rPr>
        <w:t>.</w:t>
      </w:r>
      <w:r w:rsidRPr="005D02DA">
        <w:rPr>
          <w:rFonts w:ascii="Arial Narrow" w:hAnsi="Arial Narrow" w:cs="Arial"/>
          <w:b/>
          <w:iCs/>
          <w:noProof/>
          <w:color w:val="1F497D" w:themeColor="text2"/>
          <w:sz w:val="22"/>
          <w:szCs w:val="22"/>
        </w:rPr>
        <w:t xml:space="preserve"> </w:t>
      </w:r>
      <w:r>
        <w:rPr>
          <w:rFonts w:ascii="Arial Narrow" w:hAnsi="Arial Narrow" w:cs="Arial"/>
          <w:b/>
          <w:iCs/>
          <w:caps/>
          <w:noProof/>
          <w:color w:val="1F497D" w:themeColor="text2"/>
          <w:sz w:val="22"/>
          <w:szCs w:val="22"/>
        </w:rPr>
        <w:t xml:space="preserve">percentuale di COMUNI </w:t>
      </w:r>
      <w:r w:rsidR="007F1A6C">
        <w:rPr>
          <w:rFonts w:ascii="Arial Narrow" w:hAnsi="Arial Narrow" w:cs="Arial"/>
          <w:b/>
          <w:iCs/>
          <w:caps/>
          <w:noProof/>
          <w:color w:val="1F497D" w:themeColor="text2"/>
          <w:sz w:val="22"/>
          <w:szCs w:val="22"/>
        </w:rPr>
        <w:t xml:space="preserve">che offrono servizi </w:t>
      </w:r>
      <w:r>
        <w:rPr>
          <w:rFonts w:ascii="Arial Narrow" w:hAnsi="Arial Narrow" w:cs="Arial"/>
          <w:b/>
          <w:iCs/>
          <w:caps/>
          <w:noProof/>
          <w:color w:val="1F497D" w:themeColor="text2"/>
          <w:sz w:val="22"/>
          <w:szCs w:val="22"/>
        </w:rPr>
        <w:t xml:space="preserve">PER </w:t>
      </w:r>
      <w:r w:rsidR="007F1A6C">
        <w:rPr>
          <w:rFonts w:ascii="Arial Narrow" w:hAnsi="Arial Narrow" w:cs="Arial"/>
          <w:b/>
          <w:iCs/>
          <w:caps/>
          <w:noProof/>
          <w:color w:val="1F497D" w:themeColor="text2"/>
          <w:sz w:val="22"/>
          <w:szCs w:val="22"/>
        </w:rPr>
        <w:t>preven</w:t>
      </w:r>
      <w:r w:rsidR="00F46C05">
        <w:rPr>
          <w:rFonts w:ascii="Arial Narrow" w:hAnsi="Arial Narrow" w:cs="Arial"/>
          <w:b/>
          <w:iCs/>
          <w:caps/>
          <w:noProof/>
          <w:color w:val="1F497D" w:themeColor="text2"/>
          <w:sz w:val="22"/>
          <w:szCs w:val="22"/>
        </w:rPr>
        <w:t>I</w:t>
      </w:r>
      <w:r w:rsidR="007F1A6C">
        <w:rPr>
          <w:rFonts w:ascii="Arial Narrow" w:hAnsi="Arial Narrow" w:cs="Arial"/>
          <w:b/>
          <w:iCs/>
          <w:caps/>
          <w:noProof/>
          <w:color w:val="1F497D" w:themeColor="text2"/>
          <w:sz w:val="22"/>
          <w:szCs w:val="22"/>
        </w:rPr>
        <w:t>re l’allontanamento dei minori dalla famiglia di origine</w:t>
      </w:r>
      <w:r>
        <w:rPr>
          <w:rFonts w:ascii="Arial Narrow" w:hAnsi="Arial Narrow" w:cs="Arial"/>
          <w:b/>
          <w:iCs/>
          <w:caps/>
          <w:noProof/>
          <w:color w:val="1F497D" w:themeColor="text2"/>
          <w:sz w:val="22"/>
          <w:szCs w:val="22"/>
        </w:rPr>
        <w:t>, per ripartizione geografica</w:t>
      </w:r>
      <w:r w:rsidRPr="006A04F7">
        <w:rPr>
          <w:rFonts w:ascii="Arial Narrow" w:hAnsi="Arial Narrow" w:cs="Arial"/>
          <w:b/>
          <w:iCs/>
          <w:caps/>
          <w:noProof/>
          <w:color w:val="1F497D" w:themeColor="text2"/>
          <w:sz w:val="22"/>
          <w:szCs w:val="22"/>
        </w:rPr>
        <w:t>.</w:t>
      </w:r>
      <w:r w:rsidRPr="009F29C3">
        <w:rPr>
          <w:rFonts w:ascii="Arial" w:hAnsi="Arial" w:cs="Arial"/>
          <w:b/>
          <w:color w:val="1F497D" w:themeColor="text2"/>
          <w:sz w:val="26"/>
          <w:szCs w:val="26"/>
        </w:rPr>
        <w:t xml:space="preserve"> </w:t>
      </w:r>
      <w:r w:rsidRPr="006A04F7">
        <w:rPr>
          <w:rFonts w:ascii="Arial Narrow" w:hAnsi="Arial Narrow" w:cs="Arial"/>
          <w:iCs/>
          <w:noProof/>
          <w:color w:val="1F497D" w:themeColor="text2"/>
          <w:sz w:val="22"/>
          <w:szCs w:val="22"/>
        </w:rPr>
        <w:t>Ann</w:t>
      </w:r>
      <w:r>
        <w:rPr>
          <w:rFonts w:ascii="Arial Narrow" w:hAnsi="Arial Narrow" w:cs="Arial"/>
          <w:iCs/>
          <w:noProof/>
          <w:color w:val="1F497D" w:themeColor="text2"/>
          <w:sz w:val="22"/>
          <w:szCs w:val="22"/>
        </w:rPr>
        <w:t xml:space="preserve">o </w:t>
      </w:r>
      <w:r w:rsidRPr="006A04F7">
        <w:rPr>
          <w:rFonts w:ascii="Arial Narrow" w:hAnsi="Arial Narrow" w:cs="Arial"/>
          <w:iCs/>
          <w:noProof/>
          <w:color w:val="1F497D" w:themeColor="text2"/>
          <w:sz w:val="22"/>
          <w:szCs w:val="22"/>
        </w:rPr>
        <w:t>20</w:t>
      </w:r>
      <w:r>
        <w:rPr>
          <w:rFonts w:ascii="Arial Narrow" w:hAnsi="Arial Narrow" w:cs="Arial"/>
          <w:iCs/>
          <w:noProof/>
          <w:color w:val="1F497D" w:themeColor="text2"/>
          <w:sz w:val="22"/>
          <w:szCs w:val="22"/>
        </w:rPr>
        <w:t>21</w:t>
      </w:r>
      <w:r w:rsidR="00854FF7">
        <w:rPr>
          <w:rFonts w:ascii="Arial Narrow" w:hAnsi="Arial Narrow" w:cs="Arial"/>
          <w:iCs/>
          <w:noProof/>
          <w:color w:val="1F497D" w:themeColor="text2"/>
          <w:sz w:val="22"/>
          <w:szCs w:val="22"/>
        </w:rPr>
        <w:t xml:space="preserve">, </w:t>
      </w:r>
      <w:r w:rsidR="00854FF7">
        <w:rPr>
          <w:rFonts w:ascii="Arial Narrow" w:hAnsi="Arial Narrow" w:cs="Arial"/>
          <w:color w:val="1F497D" w:themeColor="text2"/>
          <w:sz w:val="22"/>
          <w:szCs w:val="22"/>
        </w:rPr>
        <w:t>valori percentuali</w:t>
      </w:r>
    </w:p>
    <w:p w14:paraId="0E25E4A0" w14:textId="0F97E06B" w:rsidR="000354A8" w:rsidRDefault="00156D6F" w:rsidP="00952F4A">
      <w:pPr>
        <w:spacing w:after="120"/>
        <w:jc w:val="both"/>
        <w:outlineLvl w:val="0"/>
        <w:rPr>
          <w:rFonts w:ascii="Arial" w:hAnsi="Arial" w:cs="Arial"/>
          <w:sz w:val="22"/>
          <w:szCs w:val="22"/>
        </w:rPr>
      </w:pPr>
      <w:r w:rsidRPr="004276E2">
        <w:rPr>
          <w:rFonts w:ascii="Arial" w:hAnsi="Arial" w:cs="Arial"/>
          <w:noProof/>
          <w:sz w:val="18"/>
          <w:szCs w:val="18"/>
        </w:rPr>
        <w:drawing>
          <wp:inline distT="0" distB="0" distL="0" distR="0" wp14:anchorId="50892856" wp14:editId="3ED2DD66">
            <wp:extent cx="6300470" cy="2391274"/>
            <wp:effectExtent l="0" t="0" r="0" b="0"/>
            <wp:docPr id="6" name="Gra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95CA20C" w14:textId="59EA7F96" w:rsidR="00316D3F" w:rsidRDefault="00316D3F" w:rsidP="00C9104E">
      <w:pPr>
        <w:spacing w:after="120"/>
        <w:jc w:val="both"/>
        <w:outlineLvl w:val="0"/>
        <w:rPr>
          <w:rFonts w:ascii="Arial" w:hAnsi="Arial" w:cs="Arial"/>
          <w:sz w:val="22"/>
          <w:szCs w:val="22"/>
        </w:rPr>
      </w:pPr>
      <w:r>
        <w:rPr>
          <w:rFonts w:ascii="Arial" w:hAnsi="Arial" w:cs="Arial"/>
          <w:sz w:val="22"/>
          <w:szCs w:val="22"/>
        </w:rPr>
        <w:lastRenderedPageBreak/>
        <w:t>L’accoglienza presso le famiglie, oltre ad essere una soluzione più appropriata per i bambini e i ragazzi, è anche molto meno onerosa per i Comuni: in media la spesa annua dei contributi per utente è 3.971 euro, contro i 16.031 euro nel caso delle strutture residenziali comunali o private</w:t>
      </w:r>
      <w:r w:rsidR="00285927">
        <w:rPr>
          <w:rFonts w:ascii="Arial" w:hAnsi="Arial" w:cs="Arial"/>
          <w:sz w:val="22"/>
          <w:szCs w:val="22"/>
        </w:rPr>
        <w:t xml:space="preserve"> convenzionate</w:t>
      </w:r>
      <w:r>
        <w:rPr>
          <w:rFonts w:ascii="Arial" w:hAnsi="Arial" w:cs="Arial"/>
          <w:sz w:val="22"/>
          <w:szCs w:val="22"/>
        </w:rPr>
        <w:t xml:space="preserve">. </w:t>
      </w:r>
    </w:p>
    <w:p w14:paraId="1F80CCCC" w14:textId="083B0913" w:rsidR="00C9104E" w:rsidRDefault="0081292D" w:rsidP="00C9104E">
      <w:pPr>
        <w:spacing w:after="120"/>
        <w:jc w:val="both"/>
        <w:outlineLvl w:val="0"/>
        <w:rPr>
          <w:rFonts w:ascii="Arial" w:hAnsi="Arial" w:cs="Arial"/>
          <w:sz w:val="22"/>
          <w:szCs w:val="22"/>
        </w:rPr>
      </w:pPr>
      <w:r>
        <w:rPr>
          <w:rFonts w:ascii="Arial" w:hAnsi="Arial" w:cs="Arial"/>
          <w:sz w:val="22"/>
          <w:szCs w:val="22"/>
        </w:rPr>
        <w:t>Diversi interventi socio-assistenziali possono contribuire a limitare l’allontanamento dei minori dalla famiglia, come</w:t>
      </w:r>
      <w:r w:rsidR="00FD09C2">
        <w:rPr>
          <w:rFonts w:ascii="Arial" w:hAnsi="Arial" w:cs="Arial"/>
          <w:sz w:val="22"/>
          <w:szCs w:val="22"/>
        </w:rPr>
        <w:t>,</w:t>
      </w:r>
      <w:r>
        <w:rPr>
          <w:rFonts w:ascii="Arial" w:hAnsi="Arial" w:cs="Arial"/>
          <w:sz w:val="22"/>
          <w:szCs w:val="22"/>
        </w:rPr>
        <w:t xml:space="preserve"> ad esempio</w:t>
      </w:r>
      <w:r w:rsidR="00FD09C2">
        <w:rPr>
          <w:rFonts w:ascii="Arial" w:hAnsi="Arial" w:cs="Arial"/>
          <w:sz w:val="22"/>
          <w:szCs w:val="22"/>
        </w:rPr>
        <w:t>,</w:t>
      </w:r>
      <w:r>
        <w:rPr>
          <w:rFonts w:ascii="Arial" w:hAnsi="Arial" w:cs="Arial"/>
          <w:sz w:val="22"/>
          <w:szCs w:val="22"/>
        </w:rPr>
        <w:t xml:space="preserve"> i contributi economici alle famiglie con figli (comprese le madri sole) e le attività di sostegno alla genitorialità. Tali interventi però </w:t>
      </w:r>
      <w:r w:rsidR="00FD09C2">
        <w:rPr>
          <w:rFonts w:ascii="Arial" w:hAnsi="Arial" w:cs="Arial"/>
          <w:sz w:val="22"/>
          <w:szCs w:val="22"/>
        </w:rPr>
        <w:t>sono in netta diminuzione</w:t>
      </w:r>
      <w:r>
        <w:rPr>
          <w:rFonts w:ascii="Arial" w:hAnsi="Arial" w:cs="Arial"/>
          <w:sz w:val="22"/>
          <w:szCs w:val="22"/>
        </w:rPr>
        <w:t xml:space="preserve">: a livello nazionale le famiglie in difficoltà che hanno ricevuto contributi economici </w:t>
      </w:r>
      <w:r w:rsidR="00316D3F">
        <w:rPr>
          <w:rFonts w:ascii="Arial" w:hAnsi="Arial" w:cs="Arial"/>
          <w:sz w:val="22"/>
          <w:szCs w:val="22"/>
        </w:rPr>
        <w:t xml:space="preserve">dai Comuni </w:t>
      </w:r>
      <w:r>
        <w:rPr>
          <w:rFonts w:ascii="Arial" w:hAnsi="Arial" w:cs="Arial"/>
          <w:sz w:val="22"/>
          <w:szCs w:val="22"/>
        </w:rPr>
        <w:t>sono passate da circa 145</w:t>
      </w:r>
      <w:r w:rsidR="00FD09C2">
        <w:rPr>
          <w:rFonts w:ascii="Arial" w:hAnsi="Arial" w:cs="Arial"/>
          <w:sz w:val="22"/>
          <w:szCs w:val="22"/>
        </w:rPr>
        <w:t>mila</w:t>
      </w:r>
      <w:r>
        <w:rPr>
          <w:rFonts w:ascii="Arial" w:hAnsi="Arial" w:cs="Arial"/>
          <w:sz w:val="22"/>
          <w:szCs w:val="22"/>
        </w:rPr>
        <w:t xml:space="preserve"> nel 2011 a 140</w:t>
      </w:r>
      <w:r w:rsidR="00FD09C2">
        <w:rPr>
          <w:rFonts w:ascii="Arial" w:hAnsi="Arial" w:cs="Arial"/>
          <w:sz w:val="22"/>
          <w:szCs w:val="22"/>
        </w:rPr>
        <w:t>mila</w:t>
      </w:r>
      <w:r>
        <w:rPr>
          <w:rFonts w:ascii="Arial" w:hAnsi="Arial" w:cs="Arial"/>
          <w:sz w:val="22"/>
          <w:szCs w:val="22"/>
        </w:rPr>
        <w:t xml:space="preserve"> nel 2021 e i beneficiari del sostegno alla genitorialità sono passati da quasi 73</w:t>
      </w:r>
      <w:r w:rsidR="00FD09C2">
        <w:rPr>
          <w:rFonts w:ascii="Arial" w:hAnsi="Arial" w:cs="Arial"/>
          <w:sz w:val="22"/>
          <w:szCs w:val="22"/>
        </w:rPr>
        <w:t>mila</w:t>
      </w:r>
      <w:r>
        <w:rPr>
          <w:rFonts w:ascii="Arial" w:hAnsi="Arial" w:cs="Arial"/>
          <w:sz w:val="22"/>
          <w:szCs w:val="22"/>
        </w:rPr>
        <w:t xml:space="preserve"> a poco più di 54</w:t>
      </w:r>
      <w:r w:rsidR="00FD09C2">
        <w:rPr>
          <w:rFonts w:ascii="Arial" w:hAnsi="Arial" w:cs="Arial"/>
          <w:sz w:val="22"/>
          <w:szCs w:val="22"/>
        </w:rPr>
        <w:t>mila</w:t>
      </w:r>
      <w:r>
        <w:rPr>
          <w:rFonts w:ascii="Arial" w:hAnsi="Arial" w:cs="Arial"/>
          <w:sz w:val="22"/>
          <w:szCs w:val="22"/>
        </w:rPr>
        <w:t xml:space="preserve">. Risulta invece in aumento l’utilizzo dei centri per le famiglie, strutture che offrono un sostegno basato sullo scambio di </w:t>
      </w:r>
      <w:r w:rsidRPr="00AE52E9">
        <w:rPr>
          <w:rFonts w:ascii="Arial" w:hAnsi="Arial" w:cs="Arial"/>
          <w:sz w:val="22"/>
          <w:szCs w:val="22"/>
        </w:rPr>
        <w:t xml:space="preserve">esperienze tra </w:t>
      </w:r>
      <w:r>
        <w:rPr>
          <w:rFonts w:ascii="Arial" w:hAnsi="Arial" w:cs="Arial"/>
          <w:sz w:val="22"/>
          <w:szCs w:val="22"/>
        </w:rPr>
        <w:t>genitori</w:t>
      </w:r>
      <w:r w:rsidRPr="00AE52E9">
        <w:rPr>
          <w:rFonts w:ascii="Arial" w:hAnsi="Arial" w:cs="Arial"/>
          <w:sz w:val="22"/>
          <w:szCs w:val="22"/>
        </w:rPr>
        <w:t xml:space="preserve"> e sulla valorizzazione delle risorse della comunità</w:t>
      </w:r>
      <w:r>
        <w:rPr>
          <w:rFonts w:ascii="Arial" w:hAnsi="Arial" w:cs="Arial"/>
          <w:sz w:val="22"/>
          <w:szCs w:val="22"/>
        </w:rPr>
        <w:t xml:space="preserve">: </w:t>
      </w:r>
      <w:r w:rsidR="00C9104E">
        <w:rPr>
          <w:rFonts w:ascii="Arial" w:hAnsi="Arial" w:cs="Arial"/>
          <w:sz w:val="22"/>
          <w:szCs w:val="22"/>
        </w:rPr>
        <w:t>da meno di 52mila utenti nel 2011 si è passati a oltre 64mila nel 2021</w:t>
      </w:r>
      <w:r w:rsidR="00C9104E" w:rsidRPr="00AE52E9">
        <w:rPr>
          <w:rFonts w:ascii="Arial" w:hAnsi="Arial" w:cs="Arial"/>
          <w:sz w:val="22"/>
          <w:szCs w:val="22"/>
        </w:rPr>
        <w:t>.</w:t>
      </w:r>
      <w:r w:rsidR="00C9104E">
        <w:rPr>
          <w:rFonts w:ascii="Arial" w:hAnsi="Arial" w:cs="Arial"/>
          <w:sz w:val="22"/>
          <w:szCs w:val="22"/>
        </w:rPr>
        <w:t xml:space="preserve"> </w:t>
      </w:r>
    </w:p>
    <w:p w14:paraId="2B3D797D" w14:textId="77777777" w:rsidR="00C9104E" w:rsidRDefault="00C9104E" w:rsidP="00C9104E">
      <w:pPr>
        <w:spacing w:after="120"/>
        <w:jc w:val="both"/>
        <w:outlineLvl w:val="0"/>
        <w:rPr>
          <w:rFonts w:ascii="Arial" w:hAnsi="Arial" w:cs="Arial"/>
          <w:sz w:val="22"/>
          <w:szCs w:val="22"/>
        </w:rPr>
      </w:pPr>
      <w:r>
        <w:rPr>
          <w:rFonts w:ascii="Arial" w:hAnsi="Arial" w:cs="Arial"/>
          <w:sz w:val="22"/>
          <w:szCs w:val="22"/>
        </w:rPr>
        <w:t xml:space="preserve">La diffusione sul territorio di questi servizi resta comunque limitata e molto disomogenea: i contributi economici per le famiglie sono stati erogati dal 65,5% dei Comuni, quota che sale all’84,1% al Nord-est e si riduce al 41,1% al Sud. Un po’ meno diffuso e con differenze territoriali sempre rilevanti il sostegno alla genitorialità, offerto dal 58,8% dei Comuni, mentre i centri per le famiglie sono presenti in una minoranza dei Comuni italiani (21,2%), con scarsissima diffusione nelle Isole. </w:t>
      </w:r>
    </w:p>
    <w:p w14:paraId="1BED888E" w14:textId="759194C1" w:rsidR="00125A32" w:rsidRDefault="001B07FF" w:rsidP="00C9104E">
      <w:pPr>
        <w:spacing w:after="120"/>
        <w:jc w:val="both"/>
        <w:outlineLvl w:val="0"/>
        <w:rPr>
          <w:rFonts w:ascii="Arial" w:hAnsi="Arial" w:cs="Arial"/>
          <w:sz w:val="22"/>
          <w:szCs w:val="22"/>
        </w:rPr>
      </w:pPr>
      <w:r>
        <w:rPr>
          <w:rFonts w:ascii="Arial" w:hAnsi="Arial" w:cs="Arial"/>
          <w:sz w:val="22"/>
          <w:szCs w:val="22"/>
        </w:rPr>
        <w:t xml:space="preserve">In </w:t>
      </w:r>
      <w:r w:rsidR="00010FE6">
        <w:rPr>
          <w:rFonts w:ascii="Arial" w:hAnsi="Arial" w:cs="Arial"/>
          <w:sz w:val="22"/>
          <w:szCs w:val="22"/>
        </w:rPr>
        <w:t xml:space="preserve">rapporto al totale delle risorse per il </w:t>
      </w:r>
      <w:r w:rsidR="00010FE6" w:rsidRPr="00316D3F">
        <w:rPr>
          <w:rFonts w:ascii="Arial" w:hAnsi="Arial" w:cs="Arial"/>
          <w:i/>
          <w:iCs/>
          <w:sz w:val="22"/>
          <w:szCs w:val="22"/>
        </w:rPr>
        <w:t>welfare</w:t>
      </w:r>
      <w:r w:rsidR="00010FE6">
        <w:rPr>
          <w:rFonts w:ascii="Arial" w:hAnsi="Arial" w:cs="Arial"/>
          <w:sz w:val="22"/>
          <w:szCs w:val="22"/>
        </w:rPr>
        <w:t xml:space="preserve"> locale per le famiglie e i minori, la quota di spesa utilizzata per le strutture residenziali è più bassa nelle</w:t>
      </w:r>
      <w:r>
        <w:rPr>
          <w:rFonts w:ascii="Arial" w:hAnsi="Arial" w:cs="Arial"/>
          <w:sz w:val="22"/>
          <w:szCs w:val="22"/>
        </w:rPr>
        <w:t xml:space="preserve"> </w:t>
      </w:r>
      <w:r w:rsidR="000048CD">
        <w:rPr>
          <w:rFonts w:ascii="Arial" w:hAnsi="Arial" w:cs="Arial"/>
          <w:sz w:val="22"/>
          <w:szCs w:val="22"/>
        </w:rPr>
        <w:t>aree del Paese</w:t>
      </w:r>
      <w:r w:rsidR="00010FE6">
        <w:rPr>
          <w:rFonts w:ascii="Arial" w:hAnsi="Arial" w:cs="Arial"/>
          <w:sz w:val="22"/>
          <w:szCs w:val="22"/>
        </w:rPr>
        <w:t xml:space="preserve"> dove</w:t>
      </w:r>
      <w:r w:rsidR="000048CD">
        <w:rPr>
          <w:rFonts w:ascii="Arial" w:hAnsi="Arial" w:cs="Arial"/>
          <w:sz w:val="22"/>
          <w:szCs w:val="22"/>
        </w:rPr>
        <w:t xml:space="preserve"> l’offerta assistenziale </w:t>
      </w:r>
      <w:r w:rsidR="00010FE6">
        <w:rPr>
          <w:rFonts w:ascii="Arial" w:hAnsi="Arial" w:cs="Arial"/>
          <w:sz w:val="22"/>
          <w:szCs w:val="22"/>
        </w:rPr>
        <w:t xml:space="preserve">è </w:t>
      </w:r>
      <w:r w:rsidR="00125A32">
        <w:rPr>
          <w:rFonts w:ascii="Arial" w:hAnsi="Arial" w:cs="Arial"/>
          <w:sz w:val="22"/>
          <w:szCs w:val="22"/>
        </w:rPr>
        <w:t xml:space="preserve">più ricca di </w:t>
      </w:r>
      <w:r w:rsidR="00010FE6">
        <w:rPr>
          <w:rFonts w:ascii="Arial" w:hAnsi="Arial" w:cs="Arial"/>
          <w:sz w:val="22"/>
          <w:szCs w:val="22"/>
        </w:rPr>
        <w:t xml:space="preserve">altri </w:t>
      </w:r>
      <w:r w:rsidR="00125A32">
        <w:rPr>
          <w:rFonts w:ascii="Arial" w:hAnsi="Arial" w:cs="Arial"/>
          <w:sz w:val="22"/>
          <w:szCs w:val="22"/>
        </w:rPr>
        <w:t xml:space="preserve">interventi e servizi a supporto dei molteplici bisogni della cittadinanza, </w:t>
      </w:r>
      <w:r w:rsidR="004200F9">
        <w:rPr>
          <w:rFonts w:ascii="Arial" w:hAnsi="Arial" w:cs="Arial"/>
          <w:sz w:val="22"/>
          <w:szCs w:val="22"/>
        </w:rPr>
        <w:t xml:space="preserve">come </w:t>
      </w:r>
      <w:r w:rsidR="00125A32">
        <w:rPr>
          <w:rFonts w:ascii="Arial" w:hAnsi="Arial" w:cs="Arial"/>
          <w:sz w:val="22"/>
          <w:szCs w:val="22"/>
        </w:rPr>
        <w:t>i</w:t>
      </w:r>
      <w:r>
        <w:rPr>
          <w:rFonts w:ascii="Arial" w:hAnsi="Arial" w:cs="Arial"/>
          <w:sz w:val="22"/>
          <w:szCs w:val="22"/>
        </w:rPr>
        <w:t xml:space="preserve"> </w:t>
      </w:r>
      <w:r w:rsidR="00125A32">
        <w:rPr>
          <w:rFonts w:ascii="Arial" w:hAnsi="Arial" w:cs="Arial"/>
          <w:sz w:val="22"/>
          <w:szCs w:val="22"/>
        </w:rPr>
        <w:t xml:space="preserve">servizi </w:t>
      </w:r>
      <w:r w:rsidR="004200F9">
        <w:rPr>
          <w:rFonts w:ascii="Arial" w:hAnsi="Arial" w:cs="Arial"/>
          <w:sz w:val="22"/>
          <w:szCs w:val="22"/>
        </w:rPr>
        <w:t>per</w:t>
      </w:r>
      <w:r w:rsidR="00125A32">
        <w:rPr>
          <w:rFonts w:ascii="Arial" w:hAnsi="Arial" w:cs="Arial"/>
          <w:sz w:val="22"/>
          <w:szCs w:val="22"/>
        </w:rPr>
        <w:t xml:space="preserve"> prevenire l’allontanamento familiare</w:t>
      </w:r>
      <w:r w:rsidR="004200F9">
        <w:rPr>
          <w:rFonts w:ascii="Arial" w:hAnsi="Arial" w:cs="Arial"/>
          <w:sz w:val="22"/>
          <w:szCs w:val="22"/>
        </w:rPr>
        <w:t xml:space="preserve">, </w:t>
      </w:r>
      <w:r w:rsidR="00125A32">
        <w:rPr>
          <w:rFonts w:ascii="Arial" w:hAnsi="Arial" w:cs="Arial"/>
          <w:sz w:val="22"/>
          <w:szCs w:val="22"/>
        </w:rPr>
        <w:t>l’assistenza domiciliare per le famiglie con figli (com</w:t>
      </w:r>
      <w:r w:rsidR="004200F9">
        <w:rPr>
          <w:rFonts w:ascii="Arial" w:hAnsi="Arial" w:cs="Arial"/>
          <w:sz w:val="22"/>
          <w:szCs w:val="22"/>
        </w:rPr>
        <w:t>preso il supporto nei compiti),</w:t>
      </w:r>
      <w:r w:rsidR="00125A32">
        <w:rPr>
          <w:rFonts w:ascii="Arial" w:hAnsi="Arial" w:cs="Arial"/>
          <w:sz w:val="22"/>
          <w:szCs w:val="22"/>
        </w:rPr>
        <w:t xml:space="preserve"> il sostegno socio-educativo</w:t>
      </w:r>
      <w:r w:rsidR="004200F9">
        <w:rPr>
          <w:rFonts w:ascii="Arial" w:hAnsi="Arial" w:cs="Arial"/>
          <w:sz w:val="22"/>
          <w:szCs w:val="22"/>
        </w:rPr>
        <w:t xml:space="preserve"> </w:t>
      </w:r>
      <w:r w:rsidR="00125A32">
        <w:rPr>
          <w:rFonts w:ascii="Arial" w:hAnsi="Arial" w:cs="Arial"/>
          <w:sz w:val="22"/>
          <w:szCs w:val="22"/>
        </w:rPr>
        <w:t xml:space="preserve">presso le scuole </w:t>
      </w:r>
      <w:r w:rsidR="004200F9">
        <w:rPr>
          <w:rFonts w:ascii="Arial" w:hAnsi="Arial" w:cs="Arial"/>
          <w:sz w:val="22"/>
          <w:szCs w:val="22"/>
        </w:rPr>
        <w:t>o</w:t>
      </w:r>
      <w:r w:rsidR="00125A32">
        <w:rPr>
          <w:rFonts w:ascii="Arial" w:hAnsi="Arial" w:cs="Arial"/>
          <w:sz w:val="22"/>
          <w:szCs w:val="22"/>
        </w:rPr>
        <w:t xml:space="preserve"> in strutture </w:t>
      </w:r>
      <w:r w:rsidR="004200F9">
        <w:rPr>
          <w:rFonts w:ascii="Arial" w:hAnsi="Arial" w:cs="Arial"/>
          <w:sz w:val="22"/>
          <w:szCs w:val="22"/>
        </w:rPr>
        <w:t>de</w:t>
      </w:r>
      <w:r w:rsidR="00125A32">
        <w:rPr>
          <w:rFonts w:ascii="Arial" w:hAnsi="Arial" w:cs="Arial"/>
          <w:sz w:val="22"/>
          <w:szCs w:val="22"/>
        </w:rPr>
        <w:t>l territorio</w:t>
      </w:r>
      <w:r w:rsidR="00010FE6">
        <w:rPr>
          <w:rFonts w:ascii="Arial" w:hAnsi="Arial" w:cs="Arial"/>
          <w:sz w:val="22"/>
          <w:szCs w:val="22"/>
        </w:rPr>
        <w:t>, il sostegno al reddito</w:t>
      </w:r>
      <w:r w:rsidR="00125A32">
        <w:rPr>
          <w:rFonts w:ascii="Arial" w:hAnsi="Arial" w:cs="Arial"/>
          <w:sz w:val="22"/>
          <w:szCs w:val="22"/>
        </w:rPr>
        <w:t xml:space="preserve">. </w:t>
      </w:r>
    </w:p>
    <w:p w14:paraId="6EEAB321" w14:textId="7B441110" w:rsidR="001B07FF" w:rsidRDefault="00125A32" w:rsidP="001B07FF">
      <w:pPr>
        <w:spacing w:after="120"/>
        <w:jc w:val="both"/>
        <w:outlineLvl w:val="0"/>
        <w:rPr>
          <w:rFonts w:ascii="Arial" w:hAnsi="Arial" w:cs="Arial"/>
          <w:sz w:val="22"/>
          <w:szCs w:val="22"/>
        </w:rPr>
      </w:pPr>
      <w:r>
        <w:rPr>
          <w:rFonts w:ascii="Arial" w:hAnsi="Arial" w:cs="Arial"/>
          <w:sz w:val="22"/>
          <w:szCs w:val="22"/>
        </w:rPr>
        <w:t xml:space="preserve">A livello regionale, </w:t>
      </w:r>
      <w:r w:rsidR="001B535F">
        <w:rPr>
          <w:rFonts w:ascii="Arial" w:hAnsi="Arial" w:cs="Arial"/>
          <w:sz w:val="22"/>
          <w:szCs w:val="22"/>
        </w:rPr>
        <w:t>l</w:t>
      </w:r>
      <w:r w:rsidR="00B93409">
        <w:rPr>
          <w:rFonts w:ascii="Arial" w:hAnsi="Arial" w:cs="Arial"/>
          <w:sz w:val="22"/>
          <w:szCs w:val="22"/>
        </w:rPr>
        <w:t>e quote assorbite</w:t>
      </w:r>
      <w:r w:rsidR="001B535F">
        <w:rPr>
          <w:rFonts w:ascii="Arial" w:hAnsi="Arial" w:cs="Arial"/>
          <w:sz w:val="22"/>
          <w:szCs w:val="22"/>
        </w:rPr>
        <w:t xml:space="preserve"> dalle strutture residenziali </w:t>
      </w:r>
      <w:r w:rsidR="00B93409">
        <w:rPr>
          <w:rFonts w:ascii="Arial" w:hAnsi="Arial" w:cs="Arial"/>
          <w:sz w:val="22"/>
          <w:szCs w:val="22"/>
        </w:rPr>
        <w:t>sono</w:t>
      </w:r>
      <w:r w:rsidR="00613177">
        <w:rPr>
          <w:rFonts w:ascii="Arial" w:hAnsi="Arial" w:cs="Arial"/>
          <w:sz w:val="22"/>
          <w:szCs w:val="22"/>
        </w:rPr>
        <w:t xml:space="preserve"> più alt</w:t>
      </w:r>
      <w:r w:rsidR="00B93409">
        <w:rPr>
          <w:rFonts w:ascii="Arial" w:hAnsi="Arial" w:cs="Arial"/>
          <w:sz w:val="22"/>
          <w:szCs w:val="22"/>
        </w:rPr>
        <w:t>e</w:t>
      </w:r>
      <w:r w:rsidR="00613177">
        <w:rPr>
          <w:rFonts w:ascii="Arial" w:hAnsi="Arial" w:cs="Arial"/>
          <w:sz w:val="22"/>
          <w:szCs w:val="22"/>
        </w:rPr>
        <w:t xml:space="preserve"> i</w:t>
      </w:r>
      <w:r>
        <w:rPr>
          <w:rFonts w:ascii="Arial" w:hAnsi="Arial" w:cs="Arial"/>
          <w:sz w:val="22"/>
          <w:szCs w:val="22"/>
        </w:rPr>
        <w:t>n Sicilia</w:t>
      </w:r>
      <w:r w:rsidR="00613177">
        <w:rPr>
          <w:rFonts w:ascii="Arial" w:hAnsi="Arial" w:cs="Arial"/>
          <w:sz w:val="22"/>
          <w:szCs w:val="22"/>
        </w:rPr>
        <w:t xml:space="preserve"> (40%) e</w:t>
      </w:r>
      <w:r w:rsidR="00010FE6">
        <w:rPr>
          <w:rFonts w:ascii="Arial" w:hAnsi="Arial" w:cs="Arial"/>
          <w:sz w:val="22"/>
          <w:szCs w:val="22"/>
        </w:rPr>
        <w:t xml:space="preserve"> in</w:t>
      </w:r>
      <w:r w:rsidR="00613177">
        <w:rPr>
          <w:rFonts w:ascii="Arial" w:hAnsi="Arial" w:cs="Arial"/>
          <w:sz w:val="22"/>
          <w:szCs w:val="22"/>
        </w:rPr>
        <w:t xml:space="preserve"> Campania (30%)</w:t>
      </w:r>
      <w:r>
        <w:rPr>
          <w:rFonts w:ascii="Arial" w:hAnsi="Arial" w:cs="Arial"/>
          <w:sz w:val="22"/>
          <w:szCs w:val="22"/>
        </w:rPr>
        <w:t xml:space="preserve"> </w:t>
      </w:r>
      <w:r w:rsidR="00613177">
        <w:rPr>
          <w:rFonts w:ascii="Arial" w:hAnsi="Arial" w:cs="Arial"/>
          <w:sz w:val="22"/>
          <w:szCs w:val="22"/>
        </w:rPr>
        <w:t>e</w:t>
      </w:r>
      <w:r w:rsidR="003C1FB6">
        <w:rPr>
          <w:rFonts w:ascii="Arial" w:hAnsi="Arial" w:cs="Arial"/>
          <w:sz w:val="22"/>
          <w:szCs w:val="22"/>
        </w:rPr>
        <w:t xml:space="preserve"> più </w:t>
      </w:r>
      <w:r w:rsidR="00613177">
        <w:rPr>
          <w:rFonts w:ascii="Arial" w:hAnsi="Arial" w:cs="Arial"/>
          <w:sz w:val="22"/>
          <w:szCs w:val="22"/>
        </w:rPr>
        <w:t>bass</w:t>
      </w:r>
      <w:r w:rsidR="00B93409">
        <w:rPr>
          <w:rFonts w:ascii="Arial" w:hAnsi="Arial" w:cs="Arial"/>
          <w:sz w:val="22"/>
          <w:szCs w:val="22"/>
        </w:rPr>
        <w:t>e</w:t>
      </w:r>
      <w:r w:rsidR="003C1FB6">
        <w:rPr>
          <w:rFonts w:ascii="Arial" w:hAnsi="Arial" w:cs="Arial"/>
          <w:sz w:val="22"/>
          <w:szCs w:val="22"/>
        </w:rPr>
        <w:t xml:space="preserve"> </w:t>
      </w:r>
      <w:r w:rsidR="00B93409">
        <w:rPr>
          <w:rFonts w:ascii="Arial" w:hAnsi="Arial" w:cs="Arial"/>
          <w:sz w:val="22"/>
          <w:szCs w:val="22"/>
        </w:rPr>
        <w:t>nel</w:t>
      </w:r>
      <w:r w:rsidR="003C1FB6">
        <w:rPr>
          <w:rFonts w:ascii="Arial" w:hAnsi="Arial" w:cs="Arial"/>
          <w:sz w:val="22"/>
          <w:szCs w:val="22"/>
        </w:rPr>
        <w:t>le</w:t>
      </w:r>
      <w:r w:rsidR="001B07FF">
        <w:rPr>
          <w:rFonts w:ascii="Arial" w:hAnsi="Arial" w:cs="Arial"/>
          <w:sz w:val="22"/>
          <w:szCs w:val="22"/>
        </w:rPr>
        <w:t xml:space="preserve"> </w:t>
      </w:r>
      <w:r w:rsidR="003C1FB6">
        <w:rPr>
          <w:rFonts w:ascii="Arial" w:hAnsi="Arial" w:cs="Arial"/>
          <w:sz w:val="22"/>
          <w:szCs w:val="22"/>
        </w:rPr>
        <w:t>Province Autonome di Bolzano</w:t>
      </w:r>
      <w:r w:rsidR="00EE780F">
        <w:rPr>
          <w:rFonts w:ascii="Arial" w:hAnsi="Arial" w:cs="Arial"/>
          <w:sz w:val="22"/>
          <w:szCs w:val="22"/>
        </w:rPr>
        <w:t>/Bozen</w:t>
      </w:r>
      <w:r w:rsidR="003C1FB6">
        <w:rPr>
          <w:rFonts w:ascii="Arial" w:hAnsi="Arial" w:cs="Arial"/>
          <w:sz w:val="22"/>
          <w:szCs w:val="22"/>
        </w:rPr>
        <w:t xml:space="preserve"> e Trento</w:t>
      </w:r>
      <w:r w:rsidR="00613177">
        <w:rPr>
          <w:rFonts w:ascii="Arial" w:hAnsi="Arial" w:cs="Arial"/>
          <w:sz w:val="22"/>
          <w:szCs w:val="22"/>
        </w:rPr>
        <w:t xml:space="preserve"> (14% e 15% rispettivamente) dove</w:t>
      </w:r>
      <w:r w:rsidR="003C1FB6">
        <w:rPr>
          <w:rFonts w:ascii="Arial" w:hAnsi="Arial" w:cs="Arial"/>
          <w:sz w:val="22"/>
          <w:szCs w:val="22"/>
        </w:rPr>
        <w:t xml:space="preserve"> </w:t>
      </w:r>
      <w:r w:rsidR="001B07FF">
        <w:rPr>
          <w:rFonts w:ascii="Arial" w:hAnsi="Arial" w:cs="Arial"/>
          <w:sz w:val="22"/>
          <w:szCs w:val="22"/>
        </w:rPr>
        <w:t xml:space="preserve">si </w:t>
      </w:r>
      <w:r w:rsidR="00285927">
        <w:rPr>
          <w:rFonts w:ascii="Arial" w:hAnsi="Arial" w:cs="Arial"/>
          <w:sz w:val="22"/>
          <w:szCs w:val="22"/>
        </w:rPr>
        <w:t>registrano</w:t>
      </w:r>
      <w:r w:rsidR="003C1FB6">
        <w:rPr>
          <w:rFonts w:ascii="Arial" w:hAnsi="Arial" w:cs="Arial"/>
          <w:sz w:val="22"/>
          <w:szCs w:val="22"/>
        </w:rPr>
        <w:t xml:space="preserve"> maggiori</w:t>
      </w:r>
      <w:r w:rsidR="001B07FF">
        <w:rPr>
          <w:rFonts w:ascii="Arial" w:hAnsi="Arial" w:cs="Arial"/>
          <w:sz w:val="22"/>
          <w:szCs w:val="22"/>
        </w:rPr>
        <w:t xml:space="preserve"> </w:t>
      </w:r>
      <w:r w:rsidR="00285927">
        <w:rPr>
          <w:rFonts w:ascii="Arial" w:hAnsi="Arial" w:cs="Arial"/>
          <w:sz w:val="22"/>
          <w:szCs w:val="22"/>
        </w:rPr>
        <w:t>risorse</w:t>
      </w:r>
      <w:r w:rsidR="00B93409">
        <w:rPr>
          <w:rFonts w:ascii="Arial" w:hAnsi="Arial" w:cs="Arial"/>
          <w:sz w:val="22"/>
          <w:szCs w:val="22"/>
        </w:rPr>
        <w:t xml:space="preserve"> per </w:t>
      </w:r>
      <w:r w:rsidR="00613177">
        <w:rPr>
          <w:rFonts w:ascii="Arial" w:hAnsi="Arial" w:cs="Arial"/>
          <w:sz w:val="22"/>
          <w:szCs w:val="22"/>
        </w:rPr>
        <w:t>i</w:t>
      </w:r>
      <w:r w:rsidR="00FB6A39">
        <w:rPr>
          <w:rFonts w:ascii="Arial" w:hAnsi="Arial" w:cs="Arial"/>
          <w:sz w:val="22"/>
          <w:szCs w:val="22"/>
        </w:rPr>
        <w:t xml:space="preserve"> contributi economici a integrazione del reddito </w:t>
      </w:r>
      <w:r w:rsidR="004200F9">
        <w:rPr>
          <w:rFonts w:ascii="Arial" w:hAnsi="Arial" w:cs="Arial"/>
          <w:sz w:val="22"/>
          <w:szCs w:val="22"/>
        </w:rPr>
        <w:t>delle famiglie</w:t>
      </w:r>
      <w:r w:rsidR="004200F9">
        <w:rPr>
          <w:rStyle w:val="Rimandonotadichiusura"/>
          <w:rFonts w:ascii="Arial" w:hAnsi="Arial" w:cs="Arial"/>
          <w:sz w:val="22"/>
          <w:szCs w:val="22"/>
        </w:rPr>
        <w:endnoteReference w:id="4"/>
      </w:r>
      <w:r w:rsidR="00613177">
        <w:rPr>
          <w:rFonts w:ascii="Arial" w:hAnsi="Arial" w:cs="Arial"/>
          <w:sz w:val="22"/>
          <w:szCs w:val="22"/>
        </w:rPr>
        <w:t>.</w:t>
      </w:r>
    </w:p>
    <w:p w14:paraId="7D4F9BDA" w14:textId="77777777" w:rsidR="00285927" w:rsidRDefault="00285927" w:rsidP="001B07FF">
      <w:pPr>
        <w:spacing w:after="120"/>
        <w:jc w:val="both"/>
        <w:outlineLvl w:val="0"/>
        <w:rPr>
          <w:rFonts w:ascii="Arial" w:hAnsi="Arial" w:cs="Arial"/>
          <w:sz w:val="22"/>
          <w:szCs w:val="22"/>
        </w:rPr>
      </w:pPr>
    </w:p>
    <w:p w14:paraId="25F2AB1C" w14:textId="25F86A19" w:rsidR="00285927" w:rsidRDefault="00285927" w:rsidP="00285927">
      <w:pPr>
        <w:autoSpaceDE w:val="0"/>
        <w:autoSpaceDN w:val="0"/>
        <w:adjustRightInd w:val="0"/>
        <w:spacing w:after="120"/>
        <w:jc w:val="both"/>
        <w:rPr>
          <w:rFonts w:ascii="Arial" w:hAnsi="Arial" w:cs="Arial"/>
          <w:sz w:val="22"/>
          <w:szCs w:val="22"/>
        </w:rPr>
      </w:pPr>
      <w:r>
        <w:rPr>
          <w:rFonts w:ascii="Arial" w:hAnsi="Arial" w:cs="Arial"/>
          <w:b/>
          <w:color w:val="1F497D" w:themeColor="text2"/>
          <w:sz w:val="26"/>
          <w:szCs w:val="26"/>
        </w:rPr>
        <w:t>Cresce la spesa per i disabili ma diminuisce quella per gli anziani</w:t>
      </w:r>
    </w:p>
    <w:p w14:paraId="699B2610" w14:textId="77777777" w:rsidR="00285927" w:rsidRDefault="00285927" w:rsidP="00285927">
      <w:pPr>
        <w:spacing w:after="120"/>
        <w:jc w:val="both"/>
        <w:outlineLvl w:val="0"/>
        <w:rPr>
          <w:rFonts w:ascii="Arial" w:hAnsi="Arial" w:cs="Arial"/>
          <w:sz w:val="22"/>
          <w:szCs w:val="22"/>
        </w:rPr>
      </w:pPr>
      <w:r>
        <w:rPr>
          <w:rFonts w:ascii="Arial" w:hAnsi="Arial" w:cs="Arial"/>
          <w:sz w:val="22"/>
          <w:szCs w:val="22"/>
        </w:rPr>
        <w:t xml:space="preserve">Nel </w:t>
      </w:r>
      <w:r w:rsidRPr="00B900DA">
        <w:rPr>
          <w:rFonts w:ascii="Arial" w:hAnsi="Arial" w:cs="Arial"/>
          <w:sz w:val="22"/>
          <w:szCs w:val="22"/>
        </w:rPr>
        <w:t>2021 la spesa sociale dei Comuni nell’area disabili è</w:t>
      </w:r>
      <w:r>
        <w:rPr>
          <w:rFonts w:ascii="Arial" w:hAnsi="Arial" w:cs="Arial"/>
          <w:sz w:val="22"/>
          <w:szCs w:val="22"/>
        </w:rPr>
        <w:t xml:space="preserve"> stata di</w:t>
      </w:r>
      <w:r w:rsidRPr="00B900DA">
        <w:rPr>
          <w:rFonts w:ascii="Arial" w:hAnsi="Arial" w:cs="Arial"/>
          <w:sz w:val="22"/>
          <w:szCs w:val="22"/>
        </w:rPr>
        <w:t xml:space="preserve"> 2,2 miliardi di euro</w:t>
      </w:r>
      <w:r>
        <w:rPr>
          <w:rFonts w:ascii="Arial" w:hAnsi="Arial" w:cs="Arial"/>
          <w:sz w:val="22"/>
          <w:szCs w:val="22"/>
        </w:rPr>
        <w:t xml:space="preserve">, con un incremento </w:t>
      </w:r>
      <w:r w:rsidRPr="00B900DA">
        <w:rPr>
          <w:rFonts w:ascii="Arial" w:hAnsi="Arial" w:cs="Arial"/>
          <w:sz w:val="22"/>
          <w:szCs w:val="22"/>
        </w:rPr>
        <w:t xml:space="preserve">del </w:t>
      </w:r>
      <w:r>
        <w:rPr>
          <w:rFonts w:ascii="Arial" w:hAnsi="Arial" w:cs="Arial"/>
          <w:sz w:val="22"/>
          <w:szCs w:val="22"/>
        </w:rPr>
        <w:t>12,1% rispetto all’anno precedente e del 35% rispetto a 10 anni prima (</w:t>
      </w:r>
      <w:r w:rsidRPr="00B900DA">
        <w:rPr>
          <w:rFonts w:ascii="Arial" w:hAnsi="Arial" w:cs="Arial"/>
          <w:sz w:val="22"/>
          <w:szCs w:val="22"/>
        </w:rPr>
        <w:t xml:space="preserve">al netto dell’inflazione </w:t>
      </w:r>
      <w:r>
        <w:rPr>
          <w:rFonts w:ascii="Arial" w:hAnsi="Arial" w:cs="Arial"/>
          <w:sz w:val="22"/>
          <w:szCs w:val="22"/>
        </w:rPr>
        <w:t xml:space="preserve">l’aumento è stato del 10% e del </w:t>
      </w:r>
      <w:r w:rsidRPr="00B900DA">
        <w:rPr>
          <w:rFonts w:ascii="Arial" w:hAnsi="Arial" w:cs="Arial"/>
          <w:sz w:val="22"/>
          <w:szCs w:val="22"/>
        </w:rPr>
        <w:t>24,2%</w:t>
      </w:r>
      <w:r>
        <w:rPr>
          <w:rFonts w:ascii="Arial" w:hAnsi="Arial" w:cs="Arial"/>
          <w:sz w:val="22"/>
          <w:szCs w:val="22"/>
        </w:rPr>
        <w:t xml:space="preserve"> rispettivamente</w:t>
      </w:r>
      <w:r w:rsidRPr="00B900DA">
        <w:rPr>
          <w:rFonts w:ascii="Arial" w:hAnsi="Arial" w:cs="Arial"/>
          <w:sz w:val="22"/>
          <w:szCs w:val="22"/>
        </w:rPr>
        <w:t xml:space="preserve">). Si tratta dell’incremento maggiore fra tutte le aree di utenza. </w:t>
      </w:r>
    </w:p>
    <w:p w14:paraId="00102C4D" w14:textId="77777777" w:rsidR="00285927" w:rsidRPr="00B900DA" w:rsidRDefault="00285927" w:rsidP="00285927">
      <w:pPr>
        <w:spacing w:after="120"/>
        <w:jc w:val="both"/>
        <w:outlineLvl w:val="0"/>
        <w:rPr>
          <w:rFonts w:ascii="Arial" w:hAnsi="Arial" w:cs="Arial"/>
          <w:sz w:val="22"/>
          <w:szCs w:val="22"/>
        </w:rPr>
      </w:pPr>
      <w:r>
        <w:rPr>
          <w:rFonts w:ascii="Arial" w:hAnsi="Arial" w:cs="Arial"/>
          <w:sz w:val="22"/>
          <w:szCs w:val="22"/>
        </w:rPr>
        <w:t>Parallelamente, tra il 2011 e il 2021,</w:t>
      </w:r>
      <w:r w:rsidRPr="00B900DA">
        <w:rPr>
          <w:rFonts w:ascii="Arial" w:hAnsi="Arial" w:cs="Arial"/>
          <w:sz w:val="22"/>
          <w:szCs w:val="22"/>
        </w:rPr>
        <w:t xml:space="preserve"> è diminuita gradualmente la spesa per i servizi sociali destinati agli anziani, che è passata da 1,4 a 1,3 miliardi di euro (-16,5% la variazione in termini reali) e </w:t>
      </w:r>
      <w:r>
        <w:rPr>
          <w:rFonts w:ascii="Arial" w:hAnsi="Arial" w:cs="Arial"/>
          <w:sz w:val="22"/>
          <w:szCs w:val="22"/>
        </w:rPr>
        <w:t xml:space="preserve">ha ridotto il suo peso </w:t>
      </w:r>
      <w:r w:rsidRPr="00B900DA">
        <w:rPr>
          <w:rFonts w:ascii="Arial" w:hAnsi="Arial" w:cs="Arial"/>
          <w:sz w:val="22"/>
          <w:szCs w:val="22"/>
        </w:rPr>
        <w:t xml:space="preserve">sul totale delle risorse dei Comuni per i servizi socio-assistenziali </w:t>
      </w:r>
      <w:r>
        <w:rPr>
          <w:rFonts w:ascii="Arial" w:hAnsi="Arial" w:cs="Arial"/>
          <w:sz w:val="22"/>
          <w:szCs w:val="22"/>
        </w:rPr>
        <w:t>(</w:t>
      </w:r>
      <w:r w:rsidRPr="00B900DA">
        <w:rPr>
          <w:rFonts w:ascii="Arial" w:hAnsi="Arial" w:cs="Arial"/>
          <w:sz w:val="22"/>
          <w:szCs w:val="22"/>
        </w:rPr>
        <w:t>dal 19,8% al 15%</w:t>
      </w:r>
      <w:r>
        <w:rPr>
          <w:rFonts w:ascii="Arial" w:hAnsi="Arial" w:cs="Arial"/>
          <w:sz w:val="22"/>
          <w:szCs w:val="22"/>
        </w:rPr>
        <w:t>)</w:t>
      </w:r>
      <w:r w:rsidRPr="00B900DA">
        <w:rPr>
          <w:rFonts w:ascii="Arial" w:hAnsi="Arial" w:cs="Arial"/>
          <w:sz w:val="22"/>
          <w:szCs w:val="22"/>
        </w:rPr>
        <w:t>.</w:t>
      </w:r>
    </w:p>
    <w:p w14:paraId="71881C5D" w14:textId="3657CA9E" w:rsidR="00285927" w:rsidRDefault="00285927" w:rsidP="00285927">
      <w:pPr>
        <w:spacing w:after="120"/>
        <w:jc w:val="both"/>
        <w:outlineLvl w:val="0"/>
        <w:rPr>
          <w:rFonts w:ascii="Arial" w:hAnsi="Arial" w:cs="Arial"/>
          <w:sz w:val="22"/>
          <w:szCs w:val="22"/>
        </w:rPr>
      </w:pPr>
      <w:r>
        <w:rPr>
          <w:rFonts w:ascii="Arial" w:hAnsi="Arial" w:cs="Arial"/>
          <w:sz w:val="22"/>
          <w:szCs w:val="22"/>
        </w:rPr>
        <w:t xml:space="preserve">Dal 2020 al 2021 la spesa per i servizi agli anziani </w:t>
      </w:r>
      <w:r w:rsidR="00EE139B">
        <w:rPr>
          <w:rFonts w:ascii="Arial" w:hAnsi="Arial" w:cs="Arial"/>
          <w:sz w:val="22"/>
          <w:szCs w:val="22"/>
        </w:rPr>
        <w:t>ha fatto registrare un lieve recupero</w:t>
      </w:r>
      <w:r>
        <w:rPr>
          <w:rFonts w:ascii="Arial" w:hAnsi="Arial" w:cs="Arial"/>
          <w:sz w:val="22"/>
          <w:szCs w:val="22"/>
        </w:rPr>
        <w:t xml:space="preserve"> </w:t>
      </w:r>
      <w:r w:rsidR="00EE139B">
        <w:rPr>
          <w:rFonts w:ascii="Arial" w:hAnsi="Arial" w:cs="Arial"/>
          <w:sz w:val="22"/>
          <w:szCs w:val="22"/>
        </w:rPr>
        <w:t>(+1</w:t>
      </w:r>
      <w:r>
        <w:rPr>
          <w:rFonts w:ascii="Arial" w:hAnsi="Arial" w:cs="Arial"/>
          <w:sz w:val="22"/>
          <w:szCs w:val="22"/>
        </w:rPr>
        <w:t xml:space="preserve">,2% </w:t>
      </w:r>
      <w:r w:rsidR="00EE139B">
        <w:rPr>
          <w:rFonts w:ascii="Arial" w:hAnsi="Arial" w:cs="Arial"/>
          <w:sz w:val="22"/>
          <w:szCs w:val="22"/>
        </w:rPr>
        <w:t xml:space="preserve">in valuta corrente, </w:t>
      </w:r>
      <w:r>
        <w:rPr>
          <w:rFonts w:ascii="Arial" w:hAnsi="Arial" w:cs="Arial"/>
          <w:sz w:val="22"/>
          <w:szCs w:val="22"/>
        </w:rPr>
        <w:t>-0,6% in termini reali).</w:t>
      </w:r>
    </w:p>
    <w:p w14:paraId="6104E8C9" w14:textId="77777777" w:rsidR="00A74FB0" w:rsidRPr="00B57C5D" w:rsidRDefault="00A74FB0" w:rsidP="00B57C5D">
      <w:pPr>
        <w:jc w:val="both"/>
        <w:outlineLvl w:val="0"/>
        <w:rPr>
          <w:rFonts w:ascii="Arial" w:hAnsi="Arial" w:cs="Arial"/>
          <w:sz w:val="20"/>
          <w:szCs w:val="22"/>
        </w:rPr>
      </w:pPr>
    </w:p>
    <w:p w14:paraId="0966C2D9" w14:textId="096ADA55" w:rsidR="00613177" w:rsidRDefault="00613177" w:rsidP="00613177">
      <w:pPr>
        <w:spacing w:after="120"/>
        <w:jc w:val="both"/>
        <w:outlineLvl w:val="0"/>
        <w:rPr>
          <w:rFonts w:ascii="Arial" w:hAnsi="Arial" w:cs="Arial"/>
          <w:sz w:val="22"/>
          <w:szCs w:val="22"/>
        </w:rPr>
      </w:pPr>
      <w:r w:rsidRPr="005D02DA">
        <w:rPr>
          <w:rFonts w:ascii="Arial Black" w:hAnsi="Arial Black" w:cs="Arial"/>
          <w:iCs/>
          <w:noProof/>
          <w:color w:val="1F497D" w:themeColor="text2"/>
          <w:sz w:val="22"/>
          <w:szCs w:val="22"/>
        </w:rPr>
        <w:t xml:space="preserve">FIGURA </w:t>
      </w:r>
      <w:r>
        <w:rPr>
          <w:rFonts w:ascii="Arial Black" w:hAnsi="Arial Black" w:cs="Arial"/>
          <w:iCs/>
          <w:noProof/>
          <w:color w:val="1F497D" w:themeColor="text2"/>
          <w:sz w:val="22"/>
          <w:szCs w:val="22"/>
        </w:rPr>
        <w:t>3</w:t>
      </w:r>
      <w:r w:rsidRPr="005D02DA">
        <w:rPr>
          <w:rFonts w:ascii="Arial Black" w:hAnsi="Arial Black" w:cs="Arial"/>
          <w:iCs/>
          <w:noProof/>
          <w:color w:val="1F497D" w:themeColor="text2"/>
          <w:sz w:val="22"/>
          <w:szCs w:val="22"/>
        </w:rPr>
        <w:t>.</w:t>
      </w:r>
      <w:r w:rsidRPr="005D02DA">
        <w:rPr>
          <w:rFonts w:ascii="Arial Narrow" w:hAnsi="Arial Narrow" w:cs="Arial"/>
          <w:b/>
          <w:iCs/>
          <w:noProof/>
          <w:color w:val="1F497D" w:themeColor="text2"/>
          <w:sz w:val="22"/>
          <w:szCs w:val="22"/>
        </w:rPr>
        <w:t xml:space="preserve"> </w:t>
      </w:r>
      <w:r w:rsidRPr="00613177">
        <w:rPr>
          <w:rFonts w:ascii="Arial Narrow" w:hAnsi="Arial Narrow" w:cs="Arial"/>
          <w:b/>
          <w:iCs/>
          <w:caps/>
          <w:noProof/>
          <w:color w:val="1F497D" w:themeColor="text2"/>
          <w:sz w:val="22"/>
          <w:szCs w:val="22"/>
        </w:rPr>
        <w:t>Spesa</w:t>
      </w:r>
      <w:r>
        <w:rPr>
          <w:rFonts w:ascii="Arial Narrow" w:hAnsi="Arial Narrow" w:cs="Arial"/>
          <w:b/>
          <w:iCs/>
          <w:caps/>
          <w:noProof/>
          <w:color w:val="1F497D" w:themeColor="text2"/>
          <w:sz w:val="22"/>
          <w:szCs w:val="22"/>
        </w:rPr>
        <w:t xml:space="preserve"> dei comuni singoli o associati, delle province e delle regioni</w:t>
      </w:r>
      <w:r w:rsidR="00C9104E">
        <w:rPr>
          <w:rFonts w:ascii="Arial Narrow" w:hAnsi="Arial Narrow" w:cs="Arial"/>
          <w:b/>
          <w:iCs/>
          <w:caps/>
          <w:noProof/>
          <w:color w:val="1F497D" w:themeColor="text2"/>
          <w:sz w:val="22"/>
          <w:szCs w:val="22"/>
        </w:rPr>
        <w:t>,</w:t>
      </w:r>
      <w:r>
        <w:rPr>
          <w:rFonts w:ascii="Arial Narrow" w:hAnsi="Arial Narrow" w:cs="Arial"/>
          <w:b/>
          <w:iCs/>
          <w:caps/>
          <w:noProof/>
          <w:color w:val="1F497D" w:themeColor="text2"/>
          <w:sz w:val="22"/>
          <w:szCs w:val="22"/>
        </w:rPr>
        <w:t xml:space="preserve"> per tipologia di servi</w:t>
      </w:r>
      <w:r w:rsidR="00AA1D9A">
        <w:rPr>
          <w:rFonts w:ascii="Arial Narrow" w:hAnsi="Arial Narrow" w:cs="Arial"/>
          <w:b/>
          <w:iCs/>
          <w:caps/>
          <w:noProof/>
          <w:color w:val="1F497D" w:themeColor="text2"/>
          <w:sz w:val="22"/>
          <w:szCs w:val="22"/>
        </w:rPr>
        <w:t>zi e interventi soci</w:t>
      </w:r>
      <w:r>
        <w:rPr>
          <w:rFonts w:ascii="Arial Narrow" w:hAnsi="Arial Narrow" w:cs="Arial"/>
          <w:b/>
          <w:iCs/>
          <w:caps/>
          <w:noProof/>
          <w:color w:val="1F497D" w:themeColor="text2"/>
          <w:sz w:val="22"/>
          <w:szCs w:val="22"/>
        </w:rPr>
        <w:t xml:space="preserve">ali nell’area “famiglia e minori”, per </w:t>
      </w:r>
      <w:r w:rsidR="00754B60">
        <w:rPr>
          <w:rFonts w:ascii="Arial Narrow" w:hAnsi="Arial Narrow" w:cs="Arial"/>
          <w:b/>
          <w:iCs/>
          <w:caps/>
          <w:noProof/>
          <w:color w:val="1F497D" w:themeColor="text2"/>
          <w:sz w:val="22"/>
          <w:szCs w:val="22"/>
        </w:rPr>
        <w:t>regione</w:t>
      </w:r>
      <w:r w:rsidRPr="006A04F7">
        <w:rPr>
          <w:rFonts w:ascii="Arial Narrow" w:hAnsi="Arial Narrow" w:cs="Arial"/>
          <w:b/>
          <w:iCs/>
          <w:caps/>
          <w:noProof/>
          <w:color w:val="1F497D" w:themeColor="text2"/>
          <w:sz w:val="22"/>
          <w:szCs w:val="22"/>
        </w:rPr>
        <w:t>.</w:t>
      </w:r>
      <w:r w:rsidRPr="009F29C3">
        <w:rPr>
          <w:rFonts w:ascii="Arial" w:hAnsi="Arial" w:cs="Arial"/>
          <w:b/>
          <w:color w:val="1F497D" w:themeColor="text2"/>
          <w:sz w:val="26"/>
          <w:szCs w:val="26"/>
        </w:rPr>
        <w:t xml:space="preserve"> </w:t>
      </w:r>
      <w:r w:rsidRPr="006A04F7">
        <w:rPr>
          <w:rFonts w:ascii="Arial Narrow" w:hAnsi="Arial Narrow" w:cs="Arial"/>
          <w:iCs/>
          <w:noProof/>
          <w:color w:val="1F497D" w:themeColor="text2"/>
          <w:sz w:val="22"/>
          <w:szCs w:val="22"/>
        </w:rPr>
        <w:t>Ann</w:t>
      </w:r>
      <w:r>
        <w:rPr>
          <w:rFonts w:ascii="Arial Narrow" w:hAnsi="Arial Narrow" w:cs="Arial"/>
          <w:iCs/>
          <w:noProof/>
          <w:color w:val="1F497D" w:themeColor="text2"/>
          <w:sz w:val="22"/>
          <w:szCs w:val="22"/>
        </w:rPr>
        <w:t xml:space="preserve">o </w:t>
      </w:r>
      <w:r w:rsidRPr="006A04F7">
        <w:rPr>
          <w:rFonts w:ascii="Arial Narrow" w:hAnsi="Arial Narrow" w:cs="Arial"/>
          <w:iCs/>
          <w:noProof/>
          <w:color w:val="1F497D" w:themeColor="text2"/>
          <w:sz w:val="22"/>
          <w:szCs w:val="22"/>
        </w:rPr>
        <w:t>20</w:t>
      </w:r>
      <w:r>
        <w:rPr>
          <w:rFonts w:ascii="Arial Narrow" w:hAnsi="Arial Narrow" w:cs="Arial"/>
          <w:iCs/>
          <w:noProof/>
          <w:color w:val="1F497D" w:themeColor="text2"/>
          <w:sz w:val="22"/>
          <w:szCs w:val="22"/>
        </w:rPr>
        <w:t>21</w:t>
      </w:r>
      <w:r w:rsidR="00EE780F">
        <w:rPr>
          <w:rFonts w:ascii="Arial Narrow" w:hAnsi="Arial Narrow" w:cs="Arial"/>
          <w:iCs/>
          <w:noProof/>
          <w:color w:val="1F497D" w:themeColor="text2"/>
          <w:sz w:val="22"/>
          <w:szCs w:val="22"/>
        </w:rPr>
        <w:t>, v</w:t>
      </w:r>
      <w:r w:rsidR="00754B60">
        <w:rPr>
          <w:rFonts w:ascii="Arial Narrow" w:hAnsi="Arial Narrow" w:cs="Arial"/>
          <w:iCs/>
          <w:noProof/>
          <w:color w:val="1F497D" w:themeColor="text2"/>
          <w:sz w:val="22"/>
          <w:szCs w:val="22"/>
        </w:rPr>
        <w:t>alori percentuali</w:t>
      </w:r>
    </w:p>
    <w:p w14:paraId="227E47A3" w14:textId="5D5ABBD1" w:rsidR="00AA1D9A" w:rsidRDefault="001C22FB">
      <w:pPr>
        <w:rPr>
          <w:rFonts w:ascii="Arial" w:hAnsi="Arial" w:cs="Arial"/>
          <w:sz w:val="22"/>
          <w:szCs w:val="22"/>
        </w:rPr>
      </w:pPr>
      <w:r>
        <w:rPr>
          <w:noProof/>
        </w:rPr>
        <w:drawing>
          <wp:inline distT="0" distB="0" distL="0" distR="0" wp14:anchorId="7CE43AAE" wp14:editId="578A7958">
            <wp:extent cx="6381750" cy="2451100"/>
            <wp:effectExtent l="0" t="0" r="0" b="0"/>
            <wp:docPr id="33" name="Gra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FBFFA5A" w14:textId="77777777" w:rsidR="00AA1D9A" w:rsidRDefault="00AA1D9A">
      <w:pPr>
        <w:rPr>
          <w:rFonts w:ascii="Arial" w:hAnsi="Arial" w:cs="Arial"/>
          <w:sz w:val="22"/>
          <w:szCs w:val="22"/>
        </w:rPr>
      </w:pPr>
    </w:p>
    <w:p w14:paraId="661C2AA0" w14:textId="7F9B73A3" w:rsidR="00355D41" w:rsidRPr="00B900DA" w:rsidRDefault="00355D41" w:rsidP="00355D41">
      <w:pPr>
        <w:spacing w:after="120"/>
        <w:jc w:val="both"/>
        <w:outlineLvl w:val="0"/>
        <w:rPr>
          <w:rFonts w:ascii="Arial" w:hAnsi="Arial" w:cs="Arial"/>
          <w:sz w:val="22"/>
          <w:szCs w:val="22"/>
        </w:rPr>
      </w:pPr>
      <w:r w:rsidRPr="00B900DA">
        <w:rPr>
          <w:rFonts w:ascii="Arial" w:hAnsi="Arial" w:cs="Arial"/>
          <w:sz w:val="22"/>
          <w:szCs w:val="22"/>
        </w:rPr>
        <w:t xml:space="preserve">In termini pro-capite, la spesa </w:t>
      </w:r>
      <w:r>
        <w:rPr>
          <w:rFonts w:ascii="Arial" w:hAnsi="Arial" w:cs="Arial"/>
          <w:sz w:val="22"/>
          <w:szCs w:val="22"/>
        </w:rPr>
        <w:t xml:space="preserve">sociale per gli anziani </w:t>
      </w:r>
      <w:r w:rsidRPr="00B900DA">
        <w:rPr>
          <w:rFonts w:ascii="Arial" w:hAnsi="Arial" w:cs="Arial"/>
          <w:sz w:val="22"/>
          <w:szCs w:val="22"/>
        </w:rPr>
        <w:t xml:space="preserve">è diminuita </w:t>
      </w:r>
      <w:r>
        <w:rPr>
          <w:rFonts w:ascii="Arial" w:hAnsi="Arial" w:cs="Arial"/>
          <w:sz w:val="22"/>
          <w:szCs w:val="22"/>
        </w:rPr>
        <w:t>anche per effetto</w:t>
      </w:r>
      <w:r w:rsidRPr="00B900DA">
        <w:rPr>
          <w:rFonts w:ascii="Arial" w:hAnsi="Arial" w:cs="Arial"/>
          <w:sz w:val="22"/>
          <w:szCs w:val="22"/>
        </w:rPr>
        <w:t xml:space="preserve"> </w:t>
      </w:r>
      <w:r>
        <w:rPr>
          <w:rFonts w:ascii="Arial" w:hAnsi="Arial" w:cs="Arial"/>
          <w:sz w:val="22"/>
          <w:szCs w:val="22"/>
        </w:rPr>
        <w:t>del crescente numero</w:t>
      </w:r>
      <w:r w:rsidRPr="00B900DA">
        <w:rPr>
          <w:rFonts w:ascii="Arial" w:hAnsi="Arial" w:cs="Arial"/>
          <w:sz w:val="22"/>
          <w:szCs w:val="22"/>
        </w:rPr>
        <w:t xml:space="preserve"> degli anziani in Italia</w:t>
      </w:r>
      <w:r>
        <w:rPr>
          <w:rFonts w:ascii="Arial" w:hAnsi="Arial" w:cs="Arial"/>
          <w:sz w:val="22"/>
          <w:szCs w:val="22"/>
        </w:rPr>
        <w:t>:</w:t>
      </w:r>
      <w:r w:rsidRPr="00B900DA">
        <w:rPr>
          <w:rFonts w:ascii="Arial" w:hAnsi="Arial" w:cs="Arial"/>
          <w:sz w:val="22"/>
          <w:szCs w:val="22"/>
        </w:rPr>
        <w:t xml:space="preserve"> </w:t>
      </w:r>
      <w:r>
        <w:rPr>
          <w:rFonts w:ascii="Arial" w:hAnsi="Arial" w:cs="Arial"/>
          <w:sz w:val="22"/>
          <w:szCs w:val="22"/>
        </w:rPr>
        <w:t xml:space="preserve">in </w:t>
      </w:r>
      <w:r w:rsidR="00137ADD">
        <w:rPr>
          <w:rFonts w:ascii="Arial" w:hAnsi="Arial" w:cs="Arial"/>
          <w:sz w:val="22"/>
          <w:szCs w:val="22"/>
        </w:rPr>
        <w:t>10</w:t>
      </w:r>
      <w:r>
        <w:rPr>
          <w:rFonts w:ascii="Arial" w:hAnsi="Arial" w:cs="Arial"/>
          <w:sz w:val="22"/>
          <w:szCs w:val="22"/>
        </w:rPr>
        <w:t xml:space="preserve"> anni si è passati</w:t>
      </w:r>
      <w:r w:rsidRPr="00B900DA">
        <w:rPr>
          <w:rFonts w:ascii="Arial" w:hAnsi="Arial" w:cs="Arial"/>
          <w:sz w:val="22"/>
          <w:szCs w:val="22"/>
        </w:rPr>
        <w:t xml:space="preserve"> </w:t>
      </w:r>
      <w:r>
        <w:rPr>
          <w:rFonts w:ascii="Arial" w:hAnsi="Arial" w:cs="Arial"/>
          <w:sz w:val="22"/>
          <w:szCs w:val="22"/>
        </w:rPr>
        <w:t>d</w:t>
      </w:r>
      <w:r w:rsidRPr="00B900DA">
        <w:rPr>
          <w:rFonts w:ascii="Arial" w:hAnsi="Arial" w:cs="Arial"/>
          <w:sz w:val="22"/>
          <w:szCs w:val="22"/>
        </w:rPr>
        <w:t xml:space="preserve">a 112 euro annui </w:t>
      </w:r>
      <w:r>
        <w:rPr>
          <w:rFonts w:ascii="Arial" w:hAnsi="Arial" w:cs="Arial"/>
          <w:sz w:val="22"/>
          <w:szCs w:val="22"/>
        </w:rPr>
        <w:t xml:space="preserve">per un </w:t>
      </w:r>
      <w:r w:rsidRPr="00B900DA">
        <w:rPr>
          <w:rFonts w:ascii="Arial" w:hAnsi="Arial" w:cs="Arial"/>
          <w:sz w:val="22"/>
          <w:szCs w:val="22"/>
        </w:rPr>
        <w:t>residente di 65 anni e oltre</w:t>
      </w:r>
      <w:r w:rsidR="00793480">
        <w:rPr>
          <w:rFonts w:ascii="Arial" w:hAnsi="Arial" w:cs="Arial"/>
          <w:sz w:val="22"/>
          <w:szCs w:val="22"/>
        </w:rPr>
        <w:t>,</w:t>
      </w:r>
      <w:r w:rsidRPr="00B900DA">
        <w:rPr>
          <w:rFonts w:ascii="Arial" w:hAnsi="Arial" w:cs="Arial"/>
          <w:sz w:val="22"/>
          <w:szCs w:val="22"/>
        </w:rPr>
        <w:t xml:space="preserve"> </w:t>
      </w:r>
      <w:r w:rsidR="00137ADD">
        <w:rPr>
          <w:rFonts w:ascii="Arial" w:hAnsi="Arial" w:cs="Arial"/>
          <w:sz w:val="22"/>
          <w:szCs w:val="22"/>
        </w:rPr>
        <w:br/>
      </w:r>
      <w:r>
        <w:rPr>
          <w:rFonts w:ascii="Arial" w:hAnsi="Arial" w:cs="Arial"/>
          <w:sz w:val="22"/>
          <w:szCs w:val="22"/>
        </w:rPr>
        <w:t>a 90 euro</w:t>
      </w:r>
      <w:r w:rsidRPr="00B900DA">
        <w:rPr>
          <w:rFonts w:ascii="Arial" w:hAnsi="Arial" w:cs="Arial"/>
          <w:sz w:val="22"/>
          <w:szCs w:val="22"/>
        </w:rPr>
        <w:t xml:space="preserve">, con </w:t>
      </w:r>
      <w:r w:rsidR="00C2558C" w:rsidRPr="00B900DA">
        <w:rPr>
          <w:rFonts w:ascii="Arial" w:hAnsi="Arial" w:cs="Arial"/>
          <w:sz w:val="22"/>
          <w:szCs w:val="22"/>
        </w:rPr>
        <w:t>un</w:t>
      </w:r>
      <w:r w:rsidR="00C2558C">
        <w:rPr>
          <w:rFonts w:ascii="Arial" w:hAnsi="Arial" w:cs="Arial"/>
          <w:sz w:val="22"/>
          <w:szCs w:val="22"/>
        </w:rPr>
        <w:t xml:space="preserve"> decremento</w:t>
      </w:r>
      <w:r w:rsidR="00C2558C" w:rsidRPr="00B900DA">
        <w:rPr>
          <w:rFonts w:ascii="Arial" w:hAnsi="Arial" w:cs="Arial"/>
          <w:sz w:val="22"/>
          <w:szCs w:val="22"/>
        </w:rPr>
        <w:t xml:space="preserve"> </w:t>
      </w:r>
      <w:r w:rsidRPr="00B900DA">
        <w:rPr>
          <w:rFonts w:ascii="Arial" w:hAnsi="Arial" w:cs="Arial"/>
          <w:sz w:val="22"/>
          <w:szCs w:val="22"/>
        </w:rPr>
        <w:t>in termini reali di 32 euro.</w:t>
      </w:r>
    </w:p>
    <w:p w14:paraId="3C0C5061" w14:textId="22649AF2" w:rsidR="00355D41" w:rsidRDefault="00355D41" w:rsidP="00355D41">
      <w:pPr>
        <w:spacing w:after="120"/>
        <w:jc w:val="both"/>
        <w:outlineLvl w:val="0"/>
        <w:rPr>
          <w:rFonts w:ascii="Arial" w:hAnsi="Arial" w:cs="Arial"/>
          <w:sz w:val="22"/>
          <w:szCs w:val="22"/>
        </w:rPr>
      </w:pPr>
      <w:r w:rsidRPr="00B900DA">
        <w:rPr>
          <w:rFonts w:ascii="Arial" w:hAnsi="Arial" w:cs="Arial"/>
          <w:sz w:val="22"/>
          <w:szCs w:val="22"/>
        </w:rPr>
        <w:t xml:space="preserve">Dal punto di vista territoriale, le risorse impiegate per i servizi di supporto agli anziani e ai disabili continuano a essere disomogenee. </w:t>
      </w:r>
      <w:r>
        <w:rPr>
          <w:rFonts w:ascii="Arial" w:hAnsi="Arial" w:cs="Arial"/>
          <w:sz w:val="22"/>
          <w:szCs w:val="22"/>
        </w:rPr>
        <w:t>La</w:t>
      </w:r>
      <w:r w:rsidRPr="00B900DA">
        <w:rPr>
          <w:rFonts w:ascii="Arial" w:hAnsi="Arial" w:cs="Arial"/>
          <w:sz w:val="22"/>
          <w:szCs w:val="22"/>
        </w:rPr>
        <w:t xml:space="preserve"> spesa </w:t>
      </w:r>
      <w:r>
        <w:rPr>
          <w:rFonts w:ascii="Arial" w:hAnsi="Arial" w:cs="Arial"/>
          <w:sz w:val="22"/>
          <w:szCs w:val="22"/>
        </w:rPr>
        <w:t xml:space="preserve">media </w:t>
      </w:r>
      <w:r w:rsidRPr="00B900DA">
        <w:rPr>
          <w:rFonts w:ascii="Arial" w:hAnsi="Arial" w:cs="Arial"/>
          <w:sz w:val="22"/>
          <w:szCs w:val="22"/>
        </w:rPr>
        <w:t xml:space="preserve">per una persona anziana residente </w:t>
      </w:r>
      <w:r w:rsidR="00936A7E">
        <w:rPr>
          <w:rFonts w:ascii="Arial" w:hAnsi="Arial" w:cs="Arial"/>
          <w:sz w:val="22"/>
          <w:szCs w:val="22"/>
        </w:rPr>
        <w:t xml:space="preserve">al Nord-est </w:t>
      </w:r>
      <w:r>
        <w:rPr>
          <w:rFonts w:ascii="Arial" w:hAnsi="Arial" w:cs="Arial"/>
          <w:sz w:val="22"/>
          <w:szCs w:val="22"/>
        </w:rPr>
        <w:t xml:space="preserve">è </w:t>
      </w:r>
      <w:r w:rsidR="00137ADD">
        <w:rPr>
          <w:rFonts w:ascii="Arial" w:hAnsi="Arial" w:cs="Arial"/>
          <w:sz w:val="22"/>
          <w:szCs w:val="22"/>
        </w:rPr>
        <w:t>quattro</w:t>
      </w:r>
      <w:r w:rsidRPr="00B900DA">
        <w:rPr>
          <w:rFonts w:ascii="Arial" w:hAnsi="Arial" w:cs="Arial"/>
          <w:sz w:val="22"/>
          <w:szCs w:val="22"/>
        </w:rPr>
        <w:t xml:space="preserve"> volte più </w:t>
      </w:r>
      <w:r>
        <w:rPr>
          <w:rFonts w:ascii="Arial" w:hAnsi="Arial" w:cs="Arial"/>
          <w:sz w:val="22"/>
          <w:szCs w:val="22"/>
        </w:rPr>
        <w:t xml:space="preserve">alta </w:t>
      </w:r>
      <w:r w:rsidRPr="00B900DA">
        <w:rPr>
          <w:rFonts w:ascii="Arial" w:hAnsi="Arial" w:cs="Arial"/>
          <w:sz w:val="22"/>
          <w:szCs w:val="22"/>
        </w:rPr>
        <w:t>rispetto al Sud: 166 e 38 euro rispettivamente</w:t>
      </w:r>
      <w:r>
        <w:rPr>
          <w:rFonts w:ascii="Arial" w:hAnsi="Arial" w:cs="Arial"/>
          <w:sz w:val="22"/>
          <w:szCs w:val="22"/>
        </w:rPr>
        <w:t>, con un campo di variazione che va da</w:t>
      </w:r>
      <w:r w:rsidR="00137ADD">
        <w:rPr>
          <w:rFonts w:ascii="Arial" w:hAnsi="Arial" w:cs="Arial"/>
          <w:sz w:val="22"/>
          <w:szCs w:val="22"/>
        </w:rPr>
        <w:t xml:space="preserve"> ben</w:t>
      </w:r>
      <w:r w:rsidRPr="00B900DA">
        <w:rPr>
          <w:rFonts w:ascii="Arial" w:hAnsi="Arial" w:cs="Arial"/>
          <w:sz w:val="22"/>
          <w:szCs w:val="22"/>
        </w:rPr>
        <w:t xml:space="preserve"> 1.419 euro nella Provincia Autonoma di Bolzano</w:t>
      </w:r>
      <w:r w:rsidR="00137ADD">
        <w:rPr>
          <w:rFonts w:ascii="Arial" w:hAnsi="Arial" w:cs="Arial"/>
          <w:sz w:val="22"/>
          <w:szCs w:val="22"/>
        </w:rPr>
        <w:t>/Bozen</w:t>
      </w:r>
      <w:r w:rsidRPr="00B900DA">
        <w:rPr>
          <w:rFonts w:ascii="Arial" w:hAnsi="Arial" w:cs="Arial"/>
          <w:sz w:val="22"/>
          <w:szCs w:val="22"/>
        </w:rPr>
        <w:t xml:space="preserve"> </w:t>
      </w:r>
      <w:r>
        <w:rPr>
          <w:rFonts w:ascii="Arial" w:hAnsi="Arial" w:cs="Arial"/>
          <w:sz w:val="22"/>
          <w:szCs w:val="22"/>
        </w:rPr>
        <w:t>a</w:t>
      </w:r>
      <w:r w:rsidRPr="00B900DA">
        <w:rPr>
          <w:rFonts w:ascii="Arial" w:hAnsi="Arial" w:cs="Arial"/>
          <w:sz w:val="22"/>
          <w:szCs w:val="22"/>
        </w:rPr>
        <w:t xml:space="preserve"> </w:t>
      </w:r>
      <w:r w:rsidR="00137ADD">
        <w:rPr>
          <w:rFonts w:ascii="Arial" w:hAnsi="Arial" w:cs="Arial"/>
          <w:sz w:val="22"/>
          <w:szCs w:val="22"/>
        </w:rPr>
        <w:t xml:space="preserve">soltanto </w:t>
      </w:r>
      <w:r w:rsidRPr="00B900DA">
        <w:rPr>
          <w:rFonts w:ascii="Arial" w:hAnsi="Arial" w:cs="Arial"/>
          <w:sz w:val="22"/>
          <w:szCs w:val="22"/>
        </w:rPr>
        <w:t xml:space="preserve">18 euro in Calabria. </w:t>
      </w:r>
    </w:p>
    <w:p w14:paraId="3F746477" w14:textId="42C01CE5" w:rsidR="00355D41" w:rsidRPr="00B900DA" w:rsidRDefault="00355D41" w:rsidP="00355D41">
      <w:pPr>
        <w:spacing w:after="120"/>
        <w:jc w:val="both"/>
        <w:outlineLvl w:val="0"/>
        <w:rPr>
          <w:rFonts w:ascii="Arial" w:hAnsi="Arial" w:cs="Arial"/>
          <w:sz w:val="22"/>
          <w:szCs w:val="22"/>
        </w:rPr>
      </w:pPr>
      <w:r>
        <w:rPr>
          <w:rFonts w:ascii="Arial" w:hAnsi="Arial" w:cs="Arial"/>
          <w:sz w:val="22"/>
          <w:szCs w:val="22"/>
        </w:rPr>
        <w:t>P</w:t>
      </w:r>
      <w:r w:rsidRPr="00B900DA">
        <w:rPr>
          <w:rFonts w:ascii="Arial" w:hAnsi="Arial" w:cs="Arial"/>
          <w:sz w:val="22"/>
          <w:szCs w:val="22"/>
        </w:rPr>
        <w:t xml:space="preserve">er </w:t>
      </w:r>
      <w:r>
        <w:rPr>
          <w:rFonts w:ascii="Arial" w:hAnsi="Arial" w:cs="Arial"/>
          <w:sz w:val="22"/>
          <w:szCs w:val="22"/>
        </w:rPr>
        <w:t>le</w:t>
      </w:r>
      <w:r w:rsidRPr="00B900DA">
        <w:rPr>
          <w:rFonts w:ascii="Arial" w:hAnsi="Arial" w:cs="Arial"/>
          <w:sz w:val="22"/>
          <w:szCs w:val="22"/>
        </w:rPr>
        <w:t xml:space="preserve"> person</w:t>
      </w:r>
      <w:r>
        <w:rPr>
          <w:rFonts w:ascii="Arial" w:hAnsi="Arial" w:cs="Arial"/>
          <w:sz w:val="22"/>
          <w:szCs w:val="22"/>
        </w:rPr>
        <w:t>e</w:t>
      </w:r>
      <w:r w:rsidRPr="00B900DA">
        <w:rPr>
          <w:rFonts w:ascii="Arial" w:hAnsi="Arial" w:cs="Arial"/>
          <w:sz w:val="22"/>
          <w:szCs w:val="22"/>
        </w:rPr>
        <w:t xml:space="preserve"> con disabilità la </w:t>
      </w:r>
      <w:r>
        <w:rPr>
          <w:rFonts w:ascii="Arial" w:hAnsi="Arial" w:cs="Arial"/>
          <w:sz w:val="22"/>
          <w:szCs w:val="22"/>
        </w:rPr>
        <w:t xml:space="preserve">situazione non è molto diversa: </w:t>
      </w:r>
      <w:r w:rsidR="00C9104E">
        <w:rPr>
          <w:rFonts w:ascii="Arial" w:hAnsi="Arial" w:cs="Arial"/>
          <w:sz w:val="22"/>
          <w:szCs w:val="22"/>
        </w:rPr>
        <w:t xml:space="preserve">al Sud </w:t>
      </w:r>
      <w:r>
        <w:rPr>
          <w:rFonts w:ascii="Arial" w:hAnsi="Arial" w:cs="Arial"/>
          <w:sz w:val="22"/>
          <w:szCs w:val="22"/>
        </w:rPr>
        <w:t>la spesa è circa un terzo rispetto al Nord-ovest e al Nord-est e circa la metà rispetto al Centro e alla media nazionale</w:t>
      </w:r>
      <w:r w:rsidRPr="00B900DA">
        <w:rPr>
          <w:rFonts w:ascii="Arial" w:hAnsi="Arial" w:cs="Arial"/>
          <w:sz w:val="22"/>
          <w:szCs w:val="22"/>
        </w:rPr>
        <w:t xml:space="preserve">. </w:t>
      </w:r>
    </w:p>
    <w:p w14:paraId="6F3F1127" w14:textId="77777777" w:rsidR="00355D41" w:rsidRDefault="00355D41" w:rsidP="00355D41">
      <w:pPr>
        <w:spacing w:after="120"/>
        <w:jc w:val="both"/>
        <w:outlineLvl w:val="0"/>
        <w:rPr>
          <w:rFonts w:ascii="Arial" w:hAnsi="Arial" w:cs="Arial"/>
          <w:sz w:val="22"/>
          <w:szCs w:val="22"/>
        </w:rPr>
      </w:pPr>
      <w:r>
        <w:rPr>
          <w:rFonts w:ascii="Arial" w:hAnsi="Arial" w:cs="Arial"/>
          <w:sz w:val="22"/>
          <w:szCs w:val="22"/>
        </w:rPr>
        <w:t>Sia nell’ambito dell’assistenza agli anziani, sia delle persone con disabilità, le strutture residenziali rappresentano voci importanti della spesa sociale dei Comuni, con il 40,7% e il 18% rispettivamente.</w:t>
      </w:r>
    </w:p>
    <w:p w14:paraId="618202E5" w14:textId="77777777" w:rsidR="00355D41" w:rsidRDefault="00355D41" w:rsidP="00355D41">
      <w:pPr>
        <w:spacing w:after="120"/>
        <w:jc w:val="both"/>
        <w:outlineLvl w:val="0"/>
        <w:rPr>
          <w:rFonts w:ascii="Arial" w:hAnsi="Arial" w:cs="Arial"/>
          <w:sz w:val="22"/>
          <w:szCs w:val="22"/>
        </w:rPr>
      </w:pPr>
      <w:r>
        <w:rPr>
          <w:rFonts w:ascii="Arial" w:hAnsi="Arial" w:cs="Arial"/>
          <w:sz w:val="22"/>
          <w:szCs w:val="22"/>
        </w:rPr>
        <w:t>Le persone che risiedono nelle strutture comunali o che ricevono integrazioni alle rette per le strutture private sono oltre 140mila, di cui circa 108mila anziani e 32mila disabili.</w:t>
      </w:r>
    </w:p>
    <w:p w14:paraId="018735A5" w14:textId="286523CF" w:rsidR="00AA1D9A" w:rsidRDefault="00BF7960" w:rsidP="00AA1D9A">
      <w:pPr>
        <w:spacing w:after="120"/>
        <w:jc w:val="both"/>
        <w:outlineLvl w:val="0"/>
        <w:rPr>
          <w:rFonts w:ascii="Arial" w:hAnsi="Arial" w:cs="Arial"/>
          <w:sz w:val="22"/>
          <w:szCs w:val="22"/>
        </w:rPr>
      </w:pPr>
      <w:r>
        <w:rPr>
          <w:rFonts w:ascii="Arial" w:hAnsi="Arial" w:cs="Arial"/>
          <w:sz w:val="22"/>
          <w:szCs w:val="22"/>
        </w:rPr>
        <w:t>L’assistenza domiciliare, che può rappresentare un’alternativa all’istituzionalizzazione delle persone non autosufficienti, è una voce di spesa quasi altrettanto significativa nell’ambito dell’assistenza fornita dai Comuni</w:t>
      </w:r>
      <w:r w:rsidR="00AA1D9A">
        <w:rPr>
          <w:rFonts w:ascii="Arial" w:hAnsi="Arial" w:cs="Arial"/>
          <w:sz w:val="22"/>
          <w:szCs w:val="22"/>
        </w:rPr>
        <w:t xml:space="preserve">: il 36,1% dei servizi </w:t>
      </w:r>
      <w:r>
        <w:rPr>
          <w:rFonts w:ascii="Arial" w:hAnsi="Arial" w:cs="Arial"/>
          <w:sz w:val="22"/>
          <w:szCs w:val="22"/>
        </w:rPr>
        <w:t>offerti</w:t>
      </w:r>
      <w:r w:rsidR="00AA1D9A">
        <w:rPr>
          <w:rFonts w:ascii="Arial" w:hAnsi="Arial" w:cs="Arial"/>
          <w:sz w:val="22"/>
          <w:szCs w:val="22"/>
        </w:rPr>
        <w:t xml:space="preserve"> agli anziani e il 16,5% per le persone disabili. Le persone assistite a domicilio, nelle varie forme di organizzazione del servizio, sono in numero molto maggiore rispetto agli utenti delle strutture residenzi</w:t>
      </w:r>
      <w:r>
        <w:rPr>
          <w:rFonts w:ascii="Arial" w:hAnsi="Arial" w:cs="Arial"/>
          <w:sz w:val="22"/>
          <w:szCs w:val="22"/>
        </w:rPr>
        <w:t>ali, che ha</w:t>
      </w:r>
      <w:r w:rsidR="00EE139B">
        <w:rPr>
          <w:rFonts w:ascii="Arial" w:hAnsi="Arial" w:cs="Arial"/>
          <w:sz w:val="22"/>
          <w:szCs w:val="22"/>
        </w:rPr>
        <w:t>nno</w:t>
      </w:r>
      <w:r>
        <w:rPr>
          <w:rFonts w:ascii="Arial" w:hAnsi="Arial" w:cs="Arial"/>
          <w:sz w:val="22"/>
          <w:szCs w:val="22"/>
        </w:rPr>
        <w:t xml:space="preserve"> mediamente dei costi molto più elevati.</w:t>
      </w:r>
    </w:p>
    <w:p w14:paraId="343619AB" w14:textId="3EDBF0EF" w:rsidR="00BF7960" w:rsidRDefault="00AA1D9A" w:rsidP="00AA1D9A">
      <w:pPr>
        <w:spacing w:after="120"/>
        <w:jc w:val="both"/>
        <w:outlineLvl w:val="0"/>
        <w:rPr>
          <w:rFonts w:ascii="Arial" w:hAnsi="Arial" w:cs="Arial"/>
          <w:sz w:val="22"/>
          <w:szCs w:val="22"/>
        </w:rPr>
      </w:pPr>
      <w:r>
        <w:rPr>
          <w:rFonts w:ascii="Arial" w:hAnsi="Arial" w:cs="Arial"/>
          <w:sz w:val="22"/>
          <w:szCs w:val="22"/>
        </w:rPr>
        <w:t>La forma più diffusa di assistenza domiciliare offerta dai comuni è l’assistenza socio-assistenziale, di cui beneficiano quasi 13</w:t>
      </w:r>
      <w:r w:rsidR="00C9104E">
        <w:rPr>
          <w:rFonts w:ascii="Arial" w:hAnsi="Arial" w:cs="Arial"/>
          <w:sz w:val="22"/>
          <w:szCs w:val="22"/>
        </w:rPr>
        <w:t>0</w:t>
      </w:r>
      <w:r>
        <w:rPr>
          <w:rFonts w:ascii="Arial" w:hAnsi="Arial" w:cs="Arial"/>
          <w:sz w:val="22"/>
          <w:szCs w:val="22"/>
        </w:rPr>
        <w:t>mila anziani e oltre 51mila disabili sotto i 65 anni. I comuni che offrono questo tipo di servizio sono l’84,1% nel caso degli anziani e il 69% per i disabili, con variazioni territoriali</w:t>
      </w:r>
      <w:r w:rsidR="00BF7960">
        <w:rPr>
          <w:rFonts w:ascii="Arial" w:hAnsi="Arial" w:cs="Arial"/>
          <w:sz w:val="22"/>
          <w:szCs w:val="22"/>
        </w:rPr>
        <w:t xml:space="preserve"> significative (un massimo del 78,8% al Centro e un minimo del 56,5% al Nord-est)</w:t>
      </w:r>
      <w:r w:rsidR="00C2558C">
        <w:rPr>
          <w:rFonts w:ascii="Arial" w:hAnsi="Arial" w:cs="Arial"/>
          <w:sz w:val="22"/>
          <w:szCs w:val="22"/>
        </w:rPr>
        <w:t>.</w:t>
      </w:r>
      <w:r w:rsidR="00793480">
        <w:rPr>
          <w:rFonts w:ascii="Arial" w:hAnsi="Arial" w:cs="Arial"/>
          <w:sz w:val="22"/>
          <w:szCs w:val="22"/>
        </w:rPr>
        <w:t xml:space="preserve"> La quota di anziani beneficiari del servizio è dello 0,9% a livello nazionale e raggiunge l’1,6% dei residenti al </w:t>
      </w:r>
      <w:r w:rsidR="00DC6661">
        <w:rPr>
          <w:rFonts w:ascii="Arial" w:hAnsi="Arial" w:cs="Arial"/>
          <w:sz w:val="22"/>
          <w:szCs w:val="22"/>
        </w:rPr>
        <w:br/>
      </w:r>
      <w:r w:rsidR="00793480">
        <w:rPr>
          <w:rFonts w:ascii="Arial" w:hAnsi="Arial" w:cs="Arial"/>
          <w:sz w:val="22"/>
          <w:szCs w:val="22"/>
        </w:rPr>
        <w:t>Nord-est, lo 0,9% al Nord-ovest, 0,8% nelle Isole, 0,7% al centro e 0,5% al Sud. Per quanto riguarda le persone disabili sotto i 65 anni,</w:t>
      </w:r>
      <w:r w:rsidR="00E67A69">
        <w:rPr>
          <w:rFonts w:ascii="Arial" w:hAnsi="Arial" w:cs="Arial"/>
          <w:sz w:val="22"/>
          <w:szCs w:val="22"/>
        </w:rPr>
        <w:t xml:space="preserve"> la</w:t>
      </w:r>
      <w:r w:rsidR="00793480">
        <w:rPr>
          <w:rFonts w:ascii="Arial" w:hAnsi="Arial" w:cs="Arial"/>
          <w:sz w:val="22"/>
          <w:szCs w:val="22"/>
        </w:rPr>
        <w:t xml:space="preserve"> </w:t>
      </w:r>
      <w:r w:rsidR="00E67A69">
        <w:rPr>
          <w:rFonts w:ascii="Arial" w:hAnsi="Arial" w:cs="Arial"/>
          <w:sz w:val="22"/>
          <w:szCs w:val="22"/>
        </w:rPr>
        <w:t>quota maggiore d</w:t>
      </w:r>
      <w:r w:rsidR="00793480">
        <w:rPr>
          <w:rFonts w:ascii="Arial" w:hAnsi="Arial" w:cs="Arial"/>
          <w:sz w:val="22"/>
          <w:szCs w:val="22"/>
        </w:rPr>
        <w:t xml:space="preserve">i fruitori del servizio </w:t>
      </w:r>
      <w:r w:rsidR="00DC6661">
        <w:rPr>
          <w:rFonts w:ascii="Arial" w:hAnsi="Arial" w:cs="Arial"/>
          <w:sz w:val="22"/>
          <w:szCs w:val="22"/>
        </w:rPr>
        <w:t>è</w:t>
      </w:r>
      <w:r w:rsidR="00793480">
        <w:rPr>
          <w:rFonts w:ascii="Arial" w:hAnsi="Arial" w:cs="Arial"/>
          <w:sz w:val="22"/>
          <w:szCs w:val="22"/>
        </w:rPr>
        <w:t xml:space="preserve"> </w:t>
      </w:r>
      <w:r w:rsidR="00E67A69">
        <w:rPr>
          <w:rFonts w:ascii="Arial" w:hAnsi="Arial" w:cs="Arial"/>
          <w:sz w:val="22"/>
          <w:szCs w:val="22"/>
        </w:rPr>
        <w:t>nelle Isole (10,7%) e in particolare in Sardegna (29,5%), segue il Centro (5,6%), il Sud (3,5%), il Nord-ovest (3%) e il Nord-est (2,2%), con una media nazionale di 4,6%.</w:t>
      </w:r>
    </w:p>
    <w:p w14:paraId="0E0E8F62" w14:textId="46E57C13" w:rsidR="00BF7960" w:rsidRDefault="00AA1D9A" w:rsidP="00AA1D9A">
      <w:pPr>
        <w:spacing w:after="120"/>
        <w:jc w:val="both"/>
        <w:outlineLvl w:val="0"/>
        <w:rPr>
          <w:rFonts w:ascii="Arial" w:hAnsi="Arial" w:cs="Arial"/>
          <w:sz w:val="22"/>
          <w:szCs w:val="22"/>
        </w:rPr>
      </w:pPr>
      <w:r>
        <w:rPr>
          <w:rFonts w:ascii="Arial" w:hAnsi="Arial" w:cs="Arial"/>
          <w:sz w:val="22"/>
          <w:szCs w:val="22"/>
        </w:rPr>
        <w:t xml:space="preserve">L’assistenza domiciliare integrata, che prevede il coordinamento con i servizi </w:t>
      </w:r>
      <w:r w:rsidR="00BF7960">
        <w:rPr>
          <w:rFonts w:ascii="Arial" w:hAnsi="Arial" w:cs="Arial"/>
          <w:sz w:val="22"/>
          <w:szCs w:val="22"/>
        </w:rPr>
        <w:t xml:space="preserve">offerti </w:t>
      </w:r>
      <w:r>
        <w:rPr>
          <w:rFonts w:ascii="Arial" w:hAnsi="Arial" w:cs="Arial"/>
          <w:sz w:val="22"/>
          <w:szCs w:val="22"/>
        </w:rPr>
        <w:t>d</w:t>
      </w:r>
      <w:r w:rsidR="00BF7960">
        <w:rPr>
          <w:rFonts w:ascii="Arial" w:hAnsi="Arial" w:cs="Arial"/>
          <w:sz w:val="22"/>
          <w:szCs w:val="22"/>
        </w:rPr>
        <w:t>a</w:t>
      </w:r>
      <w:r>
        <w:rPr>
          <w:rFonts w:ascii="Arial" w:hAnsi="Arial" w:cs="Arial"/>
          <w:sz w:val="22"/>
          <w:szCs w:val="22"/>
        </w:rPr>
        <w:t xml:space="preserve">l Sistema Sanitario Nazionale, è </w:t>
      </w:r>
      <w:r w:rsidR="00BF7960">
        <w:rPr>
          <w:rFonts w:ascii="Arial" w:hAnsi="Arial" w:cs="Arial"/>
          <w:sz w:val="22"/>
          <w:szCs w:val="22"/>
        </w:rPr>
        <w:t>fornita agli anziani dal</w:t>
      </w:r>
      <w:r>
        <w:rPr>
          <w:rFonts w:ascii="Arial" w:hAnsi="Arial" w:cs="Arial"/>
          <w:sz w:val="22"/>
          <w:szCs w:val="22"/>
        </w:rPr>
        <w:t xml:space="preserve"> 38,7% dei Comuni e ai disabili dal 33,4%. </w:t>
      </w:r>
      <w:r w:rsidR="00E67A69">
        <w:rPr>
          <w:rFonts w:ascii="Arial" w:hAnsi="Arial" w:cs="Arial"/>
          <w:sz w:val="22"/>
          <w:szCs w:val="22"/>
        </w:rPr>
        <w:t>I beneficiari del servizio sono lo 0,6% degli anziani residenti e l’1,5% dei disabili sotto i 65 anni, con valori più alti al Nord-est per entrambe le aree di utenza.</w:t>
      </w:r>
    </w:p>
    <w:p w14:paraId="3B219C49" w14:textId="1B66F4B0" w:rsidR="00AA1D9A" w:rsidRDefault="00BF7960" w:rsidP="00AA1D9A">
      <w:pPr>
        <w:spacing w:after="120"/>
        <w:jc w:val="both"/>
        <w:outlineLvl w:val="0"/>
        <w:rPr>
          <w:rFonts w:ascii="Arial" w:hAnsi="Arial" w:cs="Arial"/>
          <w:sz w:val="22"/>
          <w:szCs w:val="22"/>
        </w:rPr>
      </w:pPr>
      <w:r>
        <w:rPr>
          <w:rFonts w:ascii="Arial" w:hAnsi="Arial" w:cs="Arial"/>
          <w:sz w:val="22"/>
          <w:szCs w:val="22"/>
        </w:rPr>
        <w:t>Un’altra forma di gestione dell’assistenza a domicilio è il pagamento di</w:t>
      </w:r>
      <w:r w:rsidR="00AA1D9A">
        <w:rPr>
          <w:rFonts w:ascii="Arial" w:hAnsi="Arial" w:cs="Arial"/>
          <w:sz w:val="22"/>
          <w:szCs w:val="22"/>
        </w:rPr>
        <w:t xml:space="preserve"> </w:t>
      </w:r>
      <w:r w:rsidR="00AA1D9A" w:rsidRPr="00CD2310">
        <w:rPr>
          <w:rFonts w:ascii="Arial" w:hAnsi="Arial" w:cs="Arial"/>
          <w:i/>
          <w:iCs/>
          <w:sz w:val="22"/>
          <w:szCs w:val="22"/>
        </w:rPr>
        <w:t>voucher</w:t>
      </w:r>
      <w:r w:rsidR="00AA1D9A" w:rsidRPr="004A7D08">
        <w:rPr>
          <w:rFonts w:ascii="Arial" w:hAnsi="Arial" w:cs="Arial"/>
          <w:sz w:val="22"/>
          <w:szCs w:val="22"/>
        </w:rPr>
        <w:t>, assegn</w:t>
      </w:r>
      <w:r w:rsidR="00AA1D9A">
        <w:rPr>
          <w:rFonts w:ascii="Arial" w:hAnsi="Arial" w:cs="Arial"/>
          <w:sz w:val="22"/>
          <w:szCs w:val="22"/>
        </w:rPr>
        <w:t>i</w:t>
      </w:r>
      <w:r w:rsidR="00AA1D9A" w:rsidRPr="004A7D08">
        <w:rPr>
          <w:rFonts w:ascii="Arial" w:hAnsi="Arial" w:cs="Arial"/>
          <w:sz w:val="22"/>
          <w:szCs w:val="22"/>
        </w:rPr>
        <w:t xml:space="preserve"> di cura e buon</w:t>
      </w:r>
      <w:r w:rsidR="00AA1D9A">
        <w:rPr>
          <w:rFonts w:ascii="Arial" w:hAnsi="Arial" w:cs="Arial"/>
          <w:sz w:val="22"/>
          <w:szCs w:val="22"/>
        </w:rPr>
        <w:t>i</w:t>
      </w:r>
      <w:r w:rsidR="00AA1D9A" w:rsidRPr="004A7D08">
        <w:rPr>
          <w:rFonts w:ascii="Arial" w:hAnsi="Arial" w:cs="Arial"/>
          <w:sz w:val="22"/>
          <w:szCs w:val="22"/>
        </w:rPr>
        <w:t xml:space="preserve"> socio-sanitari</w:t>
      </w:r>
      <w:r w:rsidR="00AA1D9A">
        <w:rPr>
          <w:rFonts w:ascii="Arial" w:hAnsi="Arial" w:cs="Arial"/>
          <w:sz w:val="22"/>
          <w:szCs w:val="22"/>
        </w:rPr>
        <w:t xml:space="preserve">, diffusi </w:t>
      </w:r>
      <w:r>
        <w:rPr>
          <w:rFonts w:ascii="Arial" w:hAnsi="Arial" w:cs="Arial"/>
          <w:sz w:val="22"/>
          <w:szCs w:val="22"/>
        </w:rPr>
        <w:t xml:space="preserve">prevalentemente al Nord-Italia. In media i </w:t>
      </w:r>
      <w:r w:rsidRPr="00CD2310">
        <w:rPr>
          <w:rFonts w:ascii="Arial" w:hAnsi="Arial" w:cs="Arial"/>
          <w:i/>
          <w:iCs/>
          <w:sz w:val="22"/>
          <w:szCs w:val="22"/>
        </w:rPr>
        <w:t>voucher</w:t>
      </w:r>
      <w:r>
        <w:rPr>
          <w:rFonts w:ascii="Arial" w:hAnsi="Arial" w:cs="Arial"/>
          <w:sz w:val="22"/>
          <w:szCs w:val="22"/>
        </w:rPr>
        <w:t xml:space="preserve"> per l’assistenza domiciliare </w:t>
      </w:r>
      <w:r w:rsidR="00AA1D9A">
        <w:rPr>
          <w:rFonts w:ascii="Arial" w:hAnsi="Arial" w:cs="Arial"/>
          <w:sz w:val="22"/>
          <w:szCs w:val="22"/>
        </w:rPr>
        <w:t xml:space="preserve">sono erogati agli anziani dal 50% dei Comuni </w:t>
      </w:r>
      <w:r>
        <w:rPr>
          <w:rFonts w:ascii="Arial" w:hAnsi="Arial" w:cs="Arial"/>
          <w:sz w:val="22"/>
          <w:szCs w:val="22"/>
        </w:rPr>
        <w:t xml:space="preserve">italiani </w:t>
      </w:r>
      <w:r w:rsidR="00AA1D9A">
        <w:rPr>
          <w:rFonts w:ascii="Arial" w:hAnsi="Arial" w:cs="Arial"/>
          <w:sz w:val="22"/>
          <w:szCs w:val="22"/>
        </w:rPr>
        <w:t xml:space="preserve">e ai disabili </w:t>
      </w:r>
      <w:r>
        <w:rPr>
          <w:rFonts w:ascii="Arial" w:hAnsi="Arial" w:cs="Arial"/>
          <w:sz w:val="22"/>
          <w:szCs w:val="22"/>
        </w:rPr>
        <w:t>da</w:t>
      </w:r>
      <w:r w:rsidR="00AA1D9A">
        <w:rPr>
          <w:rFonts w:ascii="Arial" w:hAnsi="Arial" w:cs="Arial"/>
          <w:sz w:val="22"/>
          <w:szCs w:val="22"/>
        </w:rPr>
        <w:t>l 59,2%</w:t>
      </w:r>
      <w:r w:rsidR="00A85E30">
        <w:rPr>
          <w:rFonts w:ascii="Arial" w:hAnsi="Arial" w:cs="Arial"/>
          <w:sz w:val="22"/>
          <w:szCs w:val="22"/>
        </w:rPr>
        <w:t>, con percentuali di utilizzo dello 0,4% nel primo caso e del 2,8% nel secondo</w:t>
      </w:r>
      <w:r w:rsidR="00AA1D9A">
        <w:rPr>
          <w:rFonts w:ascii="Arial" w:hAnsi="Arial" w:cs="Arial"/>
          <w:sz w:val="22"/>
          <w:szCs w:val="22"/>
        </w:rPr>
        <w:t>.</w:t>
      </w:r>
    </w:p>
    <w:p w14:paraId="3FF38851" w14:textId="684EAEC5" w:rsidR="00A52F26" w:rsidRDefault="00A52F26" w:rsidP="00AA1D9A">
      <w:pPr>
        <w:spacing w:after="120"/>
        <w:jc w:val="both"/>
        <w:outlineLvl w:val="0"/>
        <w:rPr>
          <w:rFonts w:ascii="Arial" w:hAnsi="Arial" w:cs="Arial"/>
          <w:sz w:val="18"/>
          <w:szCs w:val="22"/>
        </w:rPr>
      </w:pPr>
    </w:p>
    <w:p w14:paraId="7315C695" w14:textId="522BFFCA" w:rsidR="00932D3E" w:rsidRDefault="00A85E30" w:rsidP="0011554D">
      <w:pPr>
        <w:autoSpaceDE w:val="0"/>
        <w:autoSpaceDN w:val="0"/>
        <w:adjustRightInd w:val="0"/>
        <w:spacing w:after="120"/>
        <w:jc w:val="both"/>
        <w:rPr>
          <w:rFonts w:ascii="Arial" w:hAnsi="Arial" w:cs="Arial"/>
          <w:b/>
          <w:color w:val="1F497D" w:themeColor="text2"/>
          <w:sz w:val="26"/>
          <w:szCs w:val="26"/>
        </w:rPr>
      </w:pPr>
      <w:r w:rsidRPr="005D02DA">
        <w:rPr>
          <w:rFonts w:ascii="Arial Black" w:hAnsi="Arial Black" w:cs="Arial"/>
          <w:iCs/>
          <w:noProof/>
          <w:color w:val="1F497D" w:themeColor="text2"/>
          <w:sz w:val="22"/>
          <w:szCs w:val="22"/>
        </w:rPr>
        <w:t xml:space="preserve">FIGURA </w:t>
      </w:r>
      <w:r>
        <w:rPr>
          <w:rFonts w:ascii="Arial Black" w:hAnsi="Arial Black" w:cs="Arial"/>
          <w:iCs/>
          <w:noProof/>
          <w:color w:val="1F497D" w:themeColor="text2"/>
          <w:sz w:val="22"/>
          <w:szCs w:val="22"/>
        </w:rPr>
        <w:t>4</w:t>
      </w:r>
      <w:r w:rsidRPr="005D02DA">
        <w:rPr>
          <w:rFonts w:ascii="Arial Black" w:hAnsi="Arial Black" w:cs="Arial"/>
          <w:iCs/>
          <w:noProof/>
          <w:color w:val="1F497D" w:themeColor="text2"/>
          <w:sz w:val="22"/>
          <w:szCs w:val="22"/>
        </w:rPr>
        <w:t>.</w:t>
      </w:r>
      <w:r w:rsidRPr="005D02DA">
        <w:rPr>
          <w:rFonts w:ascii="Arial Narrow" w:hAnsi="Arial Narrow" w:cs="Arial"/>
          <w:b/>
          <w:iCs/>
          <w:noProof/>
          <w:color w:val="1F497D" w:themeColor="text2"/>
          <w:sz w:val="22"/>
          <w:szCs w:val="22"/>
        </w:rPr>
        <w:t xml:space="preserve"> </w:t>
      </w:r>
      <w:r>
        <w:rPr>
          <w:rFonts w:ascii="Arial Narrow" w:hAnsi="Arial Narrow" w:cs="Arial"/>
          <w:b/>
          <w:iCs/>
          <w:caps/>
          <w:noProof/>
          <w:color w:val="1F497D" w:themeColor="text2"/>
          <w:sz w:val="22"/>
          <w:szCs w:val="22"/>
        </w:rPr>
        <w:t>Utenti dell’assistenza domiciliare offerta dai comuni singoli o associati, aree di utenza “anziani” e “disabili”</w:t>
      </w:r>
      <w:r w:rsidRPr="006A04F7">
        <w:rPr>
          <w:rFonts w:ascii="Arial Narrow" w:hAnsi="Arial Narrow" w:cs="Arial"/>
          <w:b/>
          <w:iCs/>
          <w:caps/>
          <w:noProof/>
          <w:color w:val="1F497D" w:themeColor="text2"/>
          <w:sz w:val="22"/>
          <w:szCs w:val="22"/>
        </w:rPr>
        <w:t>.</w:t>
      </w:r>
      <w:r w:rsidRPr="009F29C3">
        <w:rPr>
          <w:rFonts w:ascii="Arial" w:hAnsi="Arial" w:cs="Arial"/>
          <w:b/>
          <w:color w:val="1F497D" w:themeColor="text2"/>
          <w:sz w:val="26"/>
          <w:szCs w:val="26"/>
        </w:rPr>
        <w:t xml:space="preserve"> </w:t>
      </w:r>
      <w:r w:rsidRPr="006A04F7">
        <w:rPr>
          <w:rFonts w:ascii="Arial Narrow" w:hAnsi="Arial Narrow" w:cs="Arial"/>
          <w:iCs/>
          <w:noProof/>
          <w:color w:val="1F497D" w:themeColor="text2"/>
          <w:sz w:val="22"/>
          <w:szCs w:val="22"/>
        </w:rPr>
        <w:t>Ann</w:t>
      </w:r>
      <w:r>
        <w:rPr>
          <w:rFonts w:ascii="Arial Narrow" w:hAnsi="Arial Narrow" w:cs="Arial"/>
          <w:iCs/>
          <w:noProof/>
          <w:color w:val="1F497D" w:themeColor="text2"/>
          <w:sz w:val="22"/>
          <w:szCs w:val="22"/>
        </w:rPr>
        <w:t xml:space="preserve">o </w:t>
      </w:r>
      <w:r w:rsidRPr="006A04F7">
        <w:rPr>
          <w:rFonts w:ascii="Arial Narrow" w:hAnsi="Arial Narrow" w:cs="Arial"/>
          <w:iCs/>
          <w:noProof/>
          <w:color w:val="1F497D" w:themeColor="text2"/>
          <w:sz w:val="22"/>
          <w:szCs w:val="22"/>
        </w:rPr>
        <w:t>20</w:t>
      </w:r>
      <w:r w:rsidR="00AF546B">
        <w:rPr>
          <w:rFonts w:ascii="Arial Narrow" w:hAnsi="Arial Narrow" w:cs="Arial"/>
          <w:iCs/>
          <w:noProof/>
          <w:color w:val="1F497D" w:themeColor="text2"/>
          <w:sz w:val="22"/>
          <w:szCs w:val="22"/>
        </w:rPr>
        <w:t>21, v</w:t>
      </w:r>
      <w:r>
        <w:rPr>
          <w:rFonts w:ascii="Arial Narrow" w:hAnsi="Arial Narrow" w:cs="Arial"/>
          <w:iCs/>
          <w:noProof/>
          <w:color w:val="1F497D" w:themeColor="text2"/>
          <w:sz w:val="22"/>
          <w:szCs w:val="22"/>
        </w:rPr>
        <w:t>alori per cento residenti di 65 anni e oltre e per 100 disabili fino a 64 anni</w:t>
      </w:r>
    </w:p>
    <w:p w14:paraId="2394EE0C" w14:textId="40E14EB0" w:rsidR="00932D3E" w:rsidRDefault="00932D3E" w:rsidP="0011554D">
      <w:pPr>
        <w:autoSpaceDE w:val="0"/>
        <w:autoSpaceDN w:val="0"/>
        <w:adjustRightInd w:val="0"/>
        <w:spacing w:after="120"/>
        <w:jc w:val="both"/>
        <w:rPr>
          <w:rFonts w:ascii="Arial" w:hAnsi="Arial" w:cs="Arial"/>
          <w:b/>
          <w:color w:val="1F497D" w:themeColor="text2"/>
          <w:sz w:val="26"/>
          <w:szCs w:val="26"/>
        </w:rPr>
      </w:pPr>
      <w:r>
        <w:rPr>
          <w:noProof/>
        </w:rPr>
        <w:drawing>
          <wp:inline distT="0" distB="0" distL="0" distR="0" wp14:anchorId="23650F0E" wp14:editId="5F181780">
            <wp:extent cx="3200400" cy="2313305"/>
            <wp:effectExtent l="0" t="0" r="0" b="0"/>
            <wp:docPr id="3" name="Gra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932D3E">
        <w:rPr>
          <w:noProof/>
        </w:rPr>
        <w:t xml:space="preserve"> </w:t>
      </w:r>
      <w:r>
        <w:rPr>
          <w:noProof/>
        </w:rPr>
        <w:drawing>
          <wp:inline distT="0" distB="0" distL="0" distR="0" wp14:anchorId="4FA7BC91" wp14:editId="3DDABB3C">
            <wp:extent cx="3067050" cy="2330450"/>
            <wp:effectExtent l="0" t="0" r="0" b="0"/>
            <wp:docPr id="5" name="Gra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B32DE65" w14:textId="3B02C9CC" w:rsidR="003546B0" w:rsidRDefault="0011554D" w:rsidP="00961647">
      <w:pPr>
        <w:autoSpaceDE w:val="0"/>
        <w:autoSpaceDN w:val="0"/>
        <w:adjustRightInd w:val="0"/>
        <w:spacing w:after="40"/>
        <w:jc w:val="both"/>
        <w:rPr>
          <w:rFonts w:ascii="Arial" w:hAnsi="Arial" w:cs="Arial"/>
          <w:sz w:val="22"/>
          <w:szCs w:val="22"/>
        </w:rPr>
      </w:pPr>
      <w:r w:rsidRPr="00782738">
        <w:rPr>
          <w:rFonts w:ascii="Arial" w:hAnsi="Arial" w:cs="Arial"/>
          <w:b/>
          <w:color w:val="1F497D" w:themeColor="text2"/>
          <w:sz w:val="26"/>
          <w:szCs w:val="26"/>
        </w:rPr>
        <w:lastRenderedPageBreak/>
        <w:t xml:space="preserve">Al Sud </w:t>
      </w:r>
      <w:r w:rsidR="00BC5AEC" w:rsidRPr="00782738">
        <w:rPr>
          <w:rFonts w:ascii="Arial" w:hAnsi="Arial" w:cs="Arial"/>
          <w:b/>
          <w:color w:val="1F497D" w:themeColor="text2"/>
          <w:sz w:val="26"/>
          <w:szCs w:val="26"/>
        </w:rPr>
        <w:t>meno</w:t>
      </w:r>
      <w:r w:rsidRPr="00782738">
        <w:rPr>
          <w:rFonts w:ascii="Arial" w:hAnsi="Arial" w:cs="Arial"/>
          <w:b/>
          <w:color w:val="1F497D" w:themeColor="text2"/>
          <w:sz w:val="26"/>
          <w:szCs w:val="26"/>
        </w:rPr>
        <w:t xml:space="preserve"> interventi per il contrasto alla povertà</w:t>
      </w:r>
    </w:p>
    <w:p w14:paraId="0D5554B0" w14:textId="4CF7840F" w:rsidR="004B4E17" w:rsidRDefault="00FA4EC0" w:rsidP="00961647">
      <w:pPr>
        <w:autoSpaceDE w:val="0"/>
        <w:autoSpaceDN w:val="0"/>
        <w:adjustRightInd w:val="0"/>
        <w:spacing w:after="40"/>
        <w:jc w:val="both"/>
        <w:rPr>
          <w:rFonts w:ascii="Arial" w:hAnsi="Arial" w:cs="Arial"/>
          <w:sz w:val="22"/>
          <w:szCs w:val="22"/>
        </w:rPr>
      </w:pPr>
      <w:r>
        <w:rPr>
          <w:rFonts w:ascii="Arial" w:hAnsi="Arial" w:cs="Arial"/>
          <w:sz w:val="22"/>
          <w:szCs w:val="22"/>
        </w:rPr>
        <w:t xml:space="preserve">Nel 2021 la spesa gestita dai Comuni singoli e associati nell’area della povertà e del disagio degli adulti è stata di 902 milioni di euro. </w:t>
      </w:r>
      <w:r w:rsidR="004B4E17" w:rsidRPr="004B4E17">
        <w:rPr>
          <w:rFonts w:ascii="Arial" w:hAnsi="Arial" w:cs="Arial"/>
          <w:sz w:val="22"/>
          <w:szCs w:val="22"/>
        </w:rPr>
        <w:t xml:space="preserve">Dopo il forte incremento registrato nel 2020 (+72,9%), a causa dell’emergenza sanitaria e della conseguente crisi sociale ed economica a cui i Comuni hanno dovuto far fronte, nel 2021, la spesa per l’area povertà in valore assoluto ha avuto un parziale ridimensionamento (-5,9%). </w:t>
      </w:r>
      <w:r w:rsidR="00D767DD" w:rsidRPr="004B4E17">
        <w:rPr>
          <w:rFonts w:ascii="Arial" w:hAnsi="Arial" w:cs="Arial"/>
          <w:sz w:val="22"/>
          <w:szCs w:val="22"/>
        </w:rPr>
        <w:t>Tutt</w:t>
      </w:r>
      <w:r w:rsidR="00D767DD">
        <w:rPr>
          <w:rFonts w:ascii="Arial" w:hAnsi="Arial" w:cs="Arial"/>
          <w:sz w:val="22"/>
          <w:szCs w:val="22"/>
        </w:rPr>
        <w:t>a</w:t>
      </w:r>
      <w:r w:rsidR="00D767DD" w:rsidRPr="004B4E17">
        <w:rPr>
          <w:rFonts w:ascii="Arial" w:hAnsi="Arial" w:cs="Arial"/>
          <w:sz w:val="22"/>
          <w:szCs w:val="22"/>
        </w:rPr>
        <w:t>via,</w:t>
      </w:r>
      <w:r w:rsidR="004B4E17" w:rsidRPr="004B4E17">
        <w:rPr>
          <w:rFonts w:ascii="Arial" w:hAnsi="Arial" w:cs="Arial"/>
          <w:sz w:val="22"/>
          <w:szCs w:val="22"/>
        </w:rPr>
        <w:t xml:space="preserve"> non sono diminuite le richieste di supporto da parte di cittadini e famiglie in difficoltà economica: se </w:t>
      </w:r>
      <w:r w:rsidR="00AD69A3" w:rsidRPr="004B4E17">
        <w:rPr>
          <w:rFonts w:ascii="Arial" w:hAnsi="Arial" w:cs="Arial"/>
          <w:sz w:val="22"/>
          <w:szCs w:val="22"/>
        </w:rPr>
        <w:t xml:space="preserve">nel 2020 le persone prese in carico dal servizio sociale professionale per problemi di povertà ed esclusione sociale </w:t>
      </w:r>
      <w:r w:rsidR="004B4E17" w:rsidRPr="004B4E17">
        <w:rPr>
          <w:rFonts w:ascii="Arial" w:hAnsi="Arial" w:cs="Arial"/>
          <w:sz w:val="22"/>
          <w:szCs w:val="22"/>
        </w:rPr>
        <w:t>sono state oltre 500mila (circa 71mila in più rispetto all’anno precedente), nel 2021 sono state oltre 525mila.</w:t>
      </w:r>
    </w:p>
    <w:p w14:paraId="1F37076E" w14:textId="6C82D15E" w:rsidR="00355D41" w:rsidRPr="00F0031C" w:rsidRDefault="00355D41" w:rsidP="00961647">
      <w:pPr>
        <w:autoSpaceDE w:val="0"/>
        <w:autoSpaceDN w:val="0"/>
        <w:adjustRightInd w:val="0"/>
        <w:spacing w:after="40"/>
        <w:jc w:val="both"/>
        <w:rPr>
          <w:rFonts w:ascii="Arial" w:hAnsi="Arial" w:cs="Arial"/>
          <w:sz w:val="22"/>
          <w:szCs w:val="22"/>
        </w:rPr>
      </w:pPr>
      <w:r w:rsidRPr="00F0031C">
        <w:rPr>
          <w:rFonts w:ascii="Arial" w:hAnsi="Arial" w:cs="Arial"/>
          <w:sz w:val="22"/>
          <w:szCs w:val="22"/>
        </w:rPr>
        <w:t xml:space="preserve">Dal punto di vista territoriale, la spesa per il contrasto della povertà riproduce gli stessi divari della spesa sociale </w:t>
      </w:r>
      <w:r>
        <w:rPr>
          <w:rFonts w:ascii="Arial" w:hAnsi="Arial" w:cs="Arial"/>
          <w:sz w:val="22"/>
          <w:szCs w:val="22"/>
        </w:rPr>
        <w:t>complessiva</w:t>
      </w:r>
      <w:r w:rsidRPr="00F0031C">
        <w:rPr>
          <w:rFonts w:ascii="Arial" w:hAnsi="Arial" w:cs="Arial"/>
          <w:sz w:val="22"/>
          <w:szCs w:val="22"/>
        </w:rPr>
        <w:t xml:space="preserve">, nonostante </w:t>
      </w:r>
      <w:r>
        <w:rPr>
          <w:rFonts w:ascii="Arial" w:hAnsi="Arial" w:cs="Arial"/>
          <w:sz w:val="22"/>
          <w:szCs w:val="22"/>
        </w:rPr>
        <w:t xml:space="preserve">si registri </w:t>
      </w:r>
      <w:r w:rsidRPr="00F0031C">
        <w:rPr>
          <w:rFonts w:ascii="Arial" w:hAnsi="Arial" w:cs="Arial"/>
          <w:sz w:val="22"/>
          <w:szCs w:val="22"/>
        </w:rPr>
        <w:t xml:space="preserve">una </w:t>
      </w:r>
      <w:r>
        <w:rPr>
          <w:rFonts w:ascii="Arial" w:hAnsi="Arial" w:cs="Arial"/>
          <w:sz w:val="22"/>
          <w:szCs w:val="22"/>
        </w:rPr>
        <w:t>diversa distribuzione del disagio economico</w:t>
      </w:r>
      <w:r w:rsidRPr="00F0031C">
        <w:rPr>
          <w:rFonts w:ascii="Arial" w:hAnsi="Arial" w:cs="Arial"/>
          <w:sz w:val="22"/>
          <w:szCs w:val="22"/>
        </w:rPr>
        <w:t xml:space="preserve">: al Sud </w:t>
      </w:r>
      <w:r>
        <w:rPr>
          <w:rFonts w:ascii="Arial" w:hAnsi="Arial" w:cs="Arial"/>
          <w:sz w:val="22"/>
          <w:szCs w:val="22"/>
        </w:rPr>
        <w:t>si ha la più alta</w:t>
      </w:r>
      <w:r w:rsidRPr="00F0031C">
        <w:rPr>
          <w:rFonts w:ascii="Arial" w:hAnsi="Arial" w:cs="Arial"/>
          <w:sz w:val="22"/>
          <w:szCs w:val="22"/>
        </w:rPr>
        <w:t xml:space="preserve"> </w:t>
      </w:r>
      <w:r>
        <w:rPr>
          <w:rFonts w:ascii="Arial" w:hAnsi="Arial" w:cs="Arial"/>
          <w:sz w:val="22"/>
          <w:szCs w:val="22"/>
        </w:rPr>
        <w:t xml:space="preserve">percentuale di famiglie in povertà assoluta (oltre il 10% nel 2021) e la minore spesa </w:t>
      </w:r>
      <w:r w:rsidR="00CE3F82">
        <w:rPr>
          <w:rFonts w:ascii="Arial" w:hAnsi="Arial" w:cs="Arial"/>
          <w:sz w:val="22"/>
          <w:szCs w:val="22"/>
        </w:rPr>
        <w:br/>
      </w:r>
      <w:r>
        <w:rPr>
          <w:rFonts w:ascii="Arial" w:hAnsi="Arial" w:cs="Arial"/>
          <w:sz w:val="22"/>
          <w:szCs w:val="22"/>
        </w:rPr>
        <w:t>pro-capite:</w:t>
      </w:r>
      <w:r w:rsidRPr="00F0031C">
        <w:rPr>
          <w:rFonts w:ascii="Arial" w:hAnsi="Arial" w:cs="Arial"/>
          <w:sz w:val="22"/>
          <w:szCs w:val="22"/>
        </w:rPr>
        <w:t xml:space="preserve"> 15 euro per un residente fra 18 e 64 anni,</w:t>
      </w:r>
      <w:r>
        <w:rPr>
          <w:rFonts w:ascii="Arial" w:hAnsi="Arial" w:cs="Arial"/>
          <w:sz w:val="22"/>
          <w:szCs w:val="22"/>
        </w:rPr>
        <w:t xml:space="preserve"> contro </w:t>
      </w:r>
      <w:r w:rsidRPr="00F0031C">
        <w:rPr>
          <w:rFonts w:ascii="Arial" w:hAnsi="Arial" w:cs="Arial"/>
          <w:sz w:val="22"/>
          <w:szCs w:val="22"/>
        </w:rPr>
        <w:t xml:space="preserve">25 euro </w:t>
      </w:r>
      <w:r>
        <w:rPr>
          <w:rFonts w:ascii="Arial" w:hAnsi="Arial" w:cs="Arial"/>
          <w:sz w:val="22"/>
          <w:szCs w:val="22"/>
        </w:rPr>
        <w:t>del</w:t>
      </w:r>
      <w:r w:rsidRPr="00F0031C">
        <w:rPr>
          <w:rFonts w:ascii="Arial" w:hAnsi="Arial" w:cs="Arial"/>
          <w:sz w:val="22"/>
          <w:szCs w:val="22"/>
        </w:rPr>
        <w:t>la media nazionale</w:t>
      </w:r>
      <w:r>
        <w:rPr>
          <w:rFonts w:ascii="Arial" w:hAnsi="Arial" w:cs="Arial"/>
          <w:sz w:val="22"/>
          <w:szCs w:val="22"/>
        </w:rPr>
        <w:t>. In tutte le altre ripartizioni, con percentuali di povertà che variano dal 6% al Centro al 9,2% nelle Isole,</w:t>
      </w:r>
      <w:r w:rsidRPr="00F0031C">
        <w:rPr>
          <w:rFonts w:ascii="Arial" w:hAnsi="Arial" w:cs="Arial"/>
          <w:sz w:val="22"/>
          <w:szCs w:val="22"/>
        </w:rPr>
        <w:t xml:space="preserve"> </w:t>
      </w:r>
      <w:r>
        <w:rPr>
          <w:rFonts w:ascii="Arial" w:hAnsi="Arial" w:cs="Arial"/>
          <w:sz w:val="22"/>
          <w:szCs w:val="22"/>
        </w:rPr>
        <w:t>la spesa pro-capite si mantiene al di sopra della media italiana:</w:t>
      </w:r>
      <w:r w:rsidRPr="00F0031C">
        <w:rPr>
          <w:rFonts w:ascii="Arial" w:hAnsi="Arial" w:cs="Arial"/>
          <w:sz w:val="22"/>
          <w:szCs w:val="22"/>
        </w:rPr>
        <w:t xml:space="preserve"> 32 euro al Nord-est, 28 al Nord-ovest, 27 al Centro e 26 nelle Isole.</w:t>
      </w:r>
    </w:p>
    <w:p w14:paraId="261C214B" w14:textId="2FEE6ECA" w:rsidR="004B4E17" w:rsidRDefault="00355D41" w:rsidP="00961647">
      <w:pPr>
        <w:autoSpaceDE w:val="0"/>
        <w:autoSpaceDN w:val="0"/>
        <w:adjustRightInd w:val="0"/>
        <w:spacing w:after="40"/>
        <w:jc w:val="both"/>
        <w:rPr>
          <w:rFonts w:ascii="Arial" w:hAnsi="Arial" w:cs="Arial"/>
          <w:sz w:val="22"/>
          <w:szCs w:val="22"/>
        </w:rPr>
      </w:pPr>
      <w:r w:rsidRPr="00D323C8">
        <w:rPr>
          <w:rFonts w:ascii="Arial" w:hAnsi="Arial" w:cs="Arial"/>
          <w:sz w:val="22"/>
          <w:szCs w:val="22"/>
        </w:rPr>
        <w:t xml:space="preserve">L’area della povertà e del disagio degli adulti comprende molteplici servizi, di cui alcuni rivolti alle </w:t>
      </w:r>
      <w:r w:rsidRPr="00EB7CE7">
        <w:rPr>
          <w:rFonts w:ascii="Arial" w:hAnsi="Arial" w:cs="Arial"/>
          <w:sz w:val="22"/>
          <w:szCs w:val="22"/>
        </w:rPr>
        <w:t xml:space="preserve">situazioni di emergenza </w:t>
      </w:r>
      <w:r>
        <w:rPr>
          <w:rFonts w:ascii="Arial" w:hAnsi="Arial" w:cs="Arial"/>
          <w:sz w:val="22"/>
          <w:szCs w:val="22"/>
        </w:rPr>
        <w:t>o</w:t>
      </w:r>
      <w:r w:rsidRPr="00EB7CE7">
        <w:rPr>
          <w:rFonts w:ascii="Arial" w:hAnsi="Arial" w:cs="Arial"/>
          <w:sz w:val="22"/>
          <w:szCs w:val="22"/>
        </w:rPr>
        <w:t xml:space="preserve"> di</w:t>
      </w:r>
      <w:r w:rsidRPr="00D323C8">
        <w:rPr>
          <w:rFonts w:ascii="Arial" w:hAnsi="Arial" w:cs="Arial"/>
          <w:sz w:val="22"/>
          <w:szCs w:val="22"/>
        </w:rPr>
        <w:t xml:space="preserve"> povertà estreme, come il pronto intervento sociale e i</w:t>
      </w:r>
      <w:r w:rsidR="00782738">
        <w:rPr>
          <w:rFonts w:ascii="Arial" w:hAnsi="Arial" w:cs="Arial"/>
          <w:sz w:val="22"/>
          <w:szCs w:val="22"/>
        </w:rPr>
        <w:t>l</w:t>
      </w:r>
      <w:r w:rsidRPr="00D323C8">
        <w:rPr>
          <w:rFonts w:ascii="Arial" w:hAnsi="Arial" w:cs="Arial"/>
          <w:sz w:val="22"/>
          <w:szCs w:val="22"/>
        </w:rPr>
        <w:t xml:space="preserve"> servizi</w:t>
      </w:r>
      <w:r w:rsidR="00782738">
        <w:rPr>
          <w:rFonts w:ascii="Arial" w:hAnsi="Arial" w:cs="Arial"/>
          <w:sz w:val="22"/>
          <w:szCs w:val="22"/>
        </w:rPr>
        <w:t>o</w:t>
      </w:r>
      <w:r w:rsidRPr="00D323C8">
        <w:rPr>
          <w:rFonts w:ascii="Arial" w:hAnsi="Arial" w:cs="Arial"/>
          <w:sz w:val="22"/>
          <w:szCs w:val="22"/>
        </w:rPr>
        <w:t xml:space="preserve"> per la residenza fittizia delle persone senza dimora,</w:t>
      </w:r>
      <w:r>
        <w:rPr>
          <w:rFonts w:ascii="Arial" w:hAnsi="Arial" w:cs="Arial"/>
          <w:sz w:val="22"/>
          <w:szCs w:val="22"/>
        </w:rPr>
        <w:t xml:space="preserve"> che sono tra quelli </w:t>
      </w:r>
      <w:r w:rsidRPr="00D323C8">
        <w:rPr>
          <w:rFonts w:ascii="Arial" w:hAnsi="Arial" w:cs="Arial"/>
          <w:sz w:val="22"/>
          <w:szCs w:val="22"/>
        </w:rPr>
        <w:t xml:space="preserve">individuati come prioritari </w:t>
      </w:r>
      <w:r>
        <w:rPr>
          <w:rFonts w:ascii="Arial" w:hAnsi="Arial" w:cs="Arial"/>
          <w:sz w:val="22"/>
          <w:szCs w:val="22"/>
        </w:rPr>
        <w:t>ne</w:t>
      </w:r>
      <w:r w:rsidRPr="00D323C8">
        <w:rPr>
          <w:rFonts w:ascii="Arial" w:hAnsi="Arial" w:cs="Arial"/>
          <w:sz w:val="22"/>
          <w:szCs w:val="22"/>
        </w:rPr>
        <w:t>l Piano nazionale degli interventi e dei servizi sociali 2021-2023</w:t>
      </w:r>
      <w:r>
        <w:rPr>
          <w:rFonts w:ascii="Arial" w:hAnsi="Arial" w:cs="Arial"/>
          <w:sz w:val="22"/>
          <w:szCs w:val="22"/>
        </w:rPr>
        <w:t xml:space="preserve">, </w:t>
      </w:r>
      <w:r w:rsidRPr="004B2B52">
        <w:rPr>
          <w:rFonts w:ascii="Arial" w:hAnsi="Arial" w:cs="Arial"/>
          <w:sz w:val="22"/>
          <w:szCs w:val="22"/>
        </w:rPr>
        <w:t>da garantire in ogni Ambito Territoriale Sociale</w:t>
      </w:r>
      <w:r>
        <w:rPr>
          <w:rFonts w:ascii="Arial" w:hAnsi="Arial" w:cs="Arial"/>
          <w:sz w:val="22"/>
          <w:szCs w:val="22"/>
        </w:rPr>
        <w:t xml:space="preserve">. </w:t>
      </w:r>
      <w:r w:rsidR="004B4E17">
        <w:rPr>
          <w:rFonts w:ascii="Arial" w:hAnsi="Arial" w:cs="Arial"/>
          <w:sz w:val="22"/>
          <w:szCs w:val="22"/>
        </w:rPr>
        <w:t>Il</w:t>
      </w:r>
      <w:r w:rsidR="004B4E17" w:rsidRPr="00D323C8">
        <w:rPr>
          <w:rFonts w:ascii="Arial" w:hAnsi="Arial" w:cs="Arial"/>
          <w:sz w:val="22"/>
          <w:szCs w:val="22"/>
        </w:rPr>
        <w:t xml:space="preserve"> servizi</w:t>
      </w:r>
      <w:r w:rsidR="004B4E17">
        <w:rPr>
          <w:rFonts w:ascii="Arial" w:hAnsi="Arial" w:cs="Arial"/>
          <w:sz w:val="22"/>
          <w:szCs w:val="22"/>
        </w:rPr>
        <w:t>o</w:t>
      </w:r>
      <w:r w:rsidR="004B4E17" w:rsidRPr="00D323C8">
        <w:rPr>
          <w:rFonts w:ascii="Arial" w:hAnsi="Arial" w:cs="Arial"/>
          <w:sz w:val="22"/>
          <w:szCs w:val="22"/>
        </w:rPr>
        <w:t xml:space="preserve"> di pronto intervento sociale </w:t>
      </w:r>
      <w:r w:rsidR="004B4E17">
        <w:rPr>
          <w:rFonts w:ascii="Arial" w:hAnsi="Arial" w:cs="Arial"/>
          <w:sz w:val="22"/>
          <w:szCs w:val="22"/>
        </w:rPr>
        <w:t xml:space="preserve">(unità di strada) </w:t>
      </w:r>
      <w:r w:rsidR="004B4E17" w:rsidRPr="00D323C8">
        <w:rPr>
          <w:rFonts w:ascii="Arial" w:hAnsi="Arial" w:cs="Arial"/>
          <w:sz w:val="22"/>
          <w:szCs w:val="22"/>
        </w:rPr>
        <w:t>ha avuto un forte incremento</w:t>
      </w:r>
      <w:r w:rsidR="004B4E17" w:rsidRPr="004B4E17">
        <w:rPr>
          <w:rFonts w:ascii="Arial" w:hAnsi="Arial" w:cs="Arial"/>
          <w:sz w:val="22"/>
          <w:szCs w:val="22"/>
        </w:rPr>
        <w:t xml:space="preserve"> </w:t>
      </w:r>
      <w:r w:rsidR="004B4E17">
        <w:rPr>
          <w:rFonts w:ascii="Arial" w:hAnsi="Arial" w:cs="Arial"/>
          <w:sz w:val="22"/>
          <w:szCs w:val="22"/>
        </w:rPr>
        <w:t>tra il 2019 e il 2021,</w:t>
      </w:r>
      <w:r w:rsidR="004B4E17" w:rsidRPr="00D323C8">
        <w:rPr>
          <w:rFonts w:ascii="Arial" w:hAnsi="Arial" w:cs="Arial"/>
          <w:sz w:val="22"/>
          <w:szCs w:val="22"/>
        </w:rPr>
        <w:t xml:space="preserve"> sia per </w:t>
      </w:r>
      <w:r w:rsidR="004B4E17">
        <w:rPr>
          <w:rFonts w:ascii="Arial" w:hAnsi="Arial" w:cs="Arial"/>
          <w:sz w:val="22"/>
          <w:szCs w:val="22"/>
        </w:rPr>
        <w:t>l’assistenza specifica</w:t>
      </w:r>
      <w:r w:rsidR="004B4E17" w:rsidRPr="00D323C8">
        <w:rPr>
          <w:rFonts w:ascii="Arial" w:hAnsi="Arial" w:cs="Arial"/>
          <w:sz w:val="22"/>
          <w:szCs w:val="22"/>
        </w:rPr>
        <w:t xml:space="preserve"> </w:t>
      </w:r>
      <w:r w:rsidR="004B4E17">
        <w:rPr>
          <w:rFonts w:ascii="Arial" w:hAnsi="Arial" w:cs="Arial"/>
          <w:sz w:val="22"/>
          <w:szCs w:val="22"/>
        </w:rPr>
        <w:t xml:space="preserve">ai </w:t>
      </w:r>
      <w:r w:rsidR="004B4E17" w:rsidRPr="00D323C8">
        <w:rPr>
          <w:rFonts w:ascii="Arial" w:hAnsi="Arial" w:cs="Arial"/>
          <w:sz w:val="22"/>
          <w:szCs w:val="22"/>
        </w:rPr>
        <w:t xml:space="preserve">senza dimora, </w:t>
      </w:r>
      <w:r w:rsidR="004B4E17">
        <w:rPr>
          <w:rFonts w:ascii="Arial" w:hAnsi="Arial" w:cs="Arial"/>
          <w:sz w:val="22"/>
          <w:szCs w:val="22"/>
        </w:rPr>
        <w:t xml:space="preserve">i cui </w:t>
      </w:r>
      <w:r w:rsidR="004B4E17" w:rsidRPr="00D323C8">
        <w:rPr>
          <w:rFonts w:ascii="Arial" w:hAnsi="Arial" w:cs="Arial"/>
          <w:sz w:val="22"/>
          <w:szCs w:val="22"/>
        </w:rPr>
        <w:t>utenti sono passati da circa 25.800 a oltre 29</w:t>
      </w:r>
      <w:r w:rsidR="00190E36">
        <w:rPr>
          <w:rFonts w:ascii="Arial" w:hAnsi="Arial" w:cs="Arial"/>
          <w:sz w:val="22"/>
          <w:szCs w:val="22"/>
        </w:rPr>
        <w:t>mila</w:t>
      </w:r>
      <w:r w:rsidR="004B4E17" w:rsidRPr="00D323C8">
        <w:rPr>
          <w:rFonts w:ascii="Arial" w:hAnsi="Arial" w:cs="Arial"/>
          <w:sz w:val="22"/>
          <w:szCs w:val="22"/>
        </w:rPr>
        <w:t xml:space="preserve">, </w:t>
      </w:r>
      <w:r w:rsidR="004B4E17">
        <w:rPr>
          <w:rFonts w:ascii="Arial" w:hAnsi="Arial" w:cs="Arial"/>
          <w:sz w:val="22"/>
          <w:szCs w:val="22"/>
        </w:rPr>
        <w:t>sia</w:t>
      </w:r>
      <w:r w:rsidR="004B4E17" w:rsidRPr="00D323C8">
        <w:rPr>
          <w:rFonts w:ascii="Arial" w:hAnsi="Arial" w:cs="Arial"/>
          <w:sz w:val="22"/>
          <w:szCs w:val="22"/>
        </w:rPr>
        <w:t xml:space="preserve"> per le </w:t>
      </w:r>
      <w:r w:rsidR="004B4E17">
        <w:rPr>
          <w:rFonts w:ascii="Arial" w:hAnsi="Arial" w:cs="Arial"/>
          <w:sz w:val="22"/>
          <w:szCs w:val="22"/>
        </w:rPr>
        <w:t xml:space="preserve">altre </w:t>
      </w:r>
      <w:r w:rsidR="004B4E17" w:rsidRPr="00D323C8">
        <w:rPr>
          <w:rFonts w:ascii="Arial" w:hAnsi="Arial" w:cs="Arial"/>
          <w:sz w:val="22"/>
          <w:szCs w:val="22"/>
        </w:rPr>
        <w:t xml:space="preserve">situazioni di </w:t>
      </w:r>
      <w:r w:rsidR="004B4E17">
        <w:rPr>
          <w:rFonts w:ascii="Arial" w:hAnsi="Arial" w:cs="Arial"/>
          <w:sz w:val="22"/>
          <w:szCs w:val="22"/>
        </w:rPr>
        <w:t xml:space="preserve">povertà e di </w:t>
      </w:r>
      <w:r w:rsidR="004B4E17" w:rsidRPr="00D323C8">
        <w:rPr>
          <w:rFonts w:ascii="Arial" w:hAnsi="Arial" w:cs="Arial"/>
          <w:sz w:val="22"/>
          <w:szCs w:val="22"/>
        </w:rPr>
        <w:t>emergenza sociale</w:t>
      </w:r>
      <w:r w:rsidR="00DF6613">
        <w:rPr>
          <w:rFonts w:ascii="Arial" w:hAnsi="Arial" w:cs="Arial"/>
          <w:sz w:val="22"/>
          <w:szCs w:val="22"/>
        </w:rPr>
        <w:t xml:space="preserve">: </w:t>
      </w:r>
      <w:r w:rsidR="004B4E17" w:rsidRPr="00D323C8">
        <w:rPr>
          <w:rFonts w:ascii="Arial" w:hAnsi="Arial" w:cs="Arial"/>
          <w:sz w:val="22"/>
          <w:szCs w:val="22"/>
        </w:rPr>
        <w:t>oltre 18</w:t>
      </w:r>
      <w:r w:rsidR="00190E36">
        <w:rPr>
          <w:rFonts w:ascii="Arial" w:hAnsi="Arial" w:cs="Arial"/>
          <w:sz w:val="22"/>
          <w:szCs w:val="22"/>
        </w:rPr>
        <w:t>mila</w:t>
      </w:r>
      <w:r w:rsidR="004B4E17" w:rsidRPr="00D323C8">
        <w:rPr>
          <w:rFonts w:ascii="Arial" w:hAnsi="Arial" w:cs="Arial"/>
          <w:sz w:val="22"/>
          <w:szCs w:val="22"/>
        </w:rPr>
        <w:t xml:space="preserve"> casi, a fronte di circa 6</w:t>
      </w:r>
      <w:r w:rsidR="00190E36">
        <w:rPr>
          <w:rFonts w:ascii="Arial" w:hAnsi="Arial" w:cs="Arial"/>
          <w:sz w:val="22"/>
          <w:szCs w:val="22"/>
        </w:rPr>
        <w:t>mila</w:t>
      </w:r>
      <w:r w:rsidR="004B4E17" w:rsidRPr="00D323C8">
        <w:rPr>
          <w:rFonts w:ascii="Arial" w:hAnsi="Arial" w:cs="Arial"/>
          <w:sz w:val="22"/>
          <w:szCs w:val="22"/>
        </w:rPr>
        <w:t xml:space="preserve"> di due anni prima (+196%). </w:t>
      </w:r>
      <w:r w:rsidR="004B4E17">
        <w:rPr>
          <w:rFonts w:ascii="Arial" w:hAnsi="Arial" w:cs="Arial"/>
          <w:sz w:val="22"/>
          <w:szCs w:val="22"/>
        </w:rPr>
        <w:t>L’offerta di questo tipo di servizi</w:t>
      </w:r>
      <w:r w:rsidR="00DF6613">
        <w:rPr>
          <w:rFonts w:ascii="Arial" w:hAnsi="Arial" w:cs="Arial"/>
          <w:sz w:val="22"/>
          <w:szCs w:val="22"/>
        </w:rPr>
        <w:t>o</w:t>
      </w:r>
      <w:r w:rsidR="004B4E17">
        <w:rPr>
          <w:rFonts w:ascii="Arial" w:hAnsi="Arial" w:cs="Arial"/>
          <w:sz w:val="22"/>
          <w:szCs w:val="22"/>
        </w:rPr>
        <w:t xml:space="preserve"> sul territorio risulta ancora limitata: nel 2021 solo l’11,8% dei Comuni ha avuto spese per il pronto intervento alle persone senza dimora e il 13,5% ha attuato il pronto intervento sociale per tutte le altre problematiche.</w:t>
      </w:r>
    </w:p>
    <w:p w14:paraId="09B97956" w14:textId="5D200B24" w:rsidR="00227D78" w:rsidRDefault="00FD1DCE" w:rsidP="00961647">
      <w:pPr>
        <w:autoSpaceDE w:val="0"/>
        <w:autoSpaceDN w:val="0"/>
        <w:adjustRightInd w:val="0"/>
        <w:spacing w:after="40"/>
        <w:jc w:val="both"/>
        <w:rPr>
          <w:rFonts w:ascii="Arial" w:hAnsi="Arial" w:cs="Arial"/>
          <w:sz w:val="22"/>
          <w:szCs w:val="22"/>
        </w:rPr>
      </w:pPr>
      <w:r>
        <w:rPr>
          <w:rFonts w:ascii="Arial" w:hAnsi="Arial" w:cs="Arial"/>
          <w:sz w:val="22"/>
          <w:szCs w:val="22"/>
        </w:rPr>
        <w:t>P</w:t>
      </w:r>
      <w:r w:rsidR="00816A23" w:rsidRPr="00FD1DCE">
        <w:rPr>
          <w:rFonts w:ascii="Arial" w:hAnsi="Arial" w:cs="Arial"/>
          <w:sz w:val="22"/>
          <w:szCs w:val="22"/>
        </w:rPr>
        <w:t>er le persone senza dimora</w:t>
      </w:r>
      <w:r w:rsidR="00816A23" w:rsidRPr="00D323C8">
        <w:rPr>
          <w:rFonts w:ascii="Arial" w:hAnsi="Arial" w:cs="Arial"/>
          <w:sz w:val="22"/>
          <w:szCs w:val="22"/>
        </w:rPr>
        <w:t xml:space="preserve"> </w:t>
      </w:r>
      <w:r w:rsidR="00816A23">
        <w:rPr>
          <w:rFonts w:ascii="Arial" w:hAnsi="Arial" w:cs="Arial"/>
          <w:sz w:val="22"/>
          <w:szCs w:val="22"/>
        </w:rPr>
        <w:t>è p</w:t>
      </w:r>
      <w:r w:rsidR="00816A23" w:rsidRPr="00FD1DCE">
        <w:rPr>
          <w:rFonts w:ascii="Arial" w:hAnsi="Arial" w:cs="Arial"/>
          <w:sz w:val="22"/>
          <w:szCs w:val="22"/>
        </w:rPr>
        <w:t xml:space="preserve">articolarmente importante il servizio di </w:t>
      </w:r>
      <w:r w:rsidR="00816A23" w:rsidRPr="00D323C8">
        <w:rPr>
          <w:rFonts w:ascii="Arial" w:hAnsi="Arial" w:cs="Arial"/>
          <w:sz w:val="22"/>
          <w:szCs w:val="22"/>
        </w:rPr>
        <w:t>residenza anagrafica fittizia</w:t>
      </w:r>
      <w:r w:rsidR="00816A23">
        <w:rPr>
          <w:rFonts w:ascii="Arial" w:hAnsi="Arial" w:cs="Arial"/>
          <w:sz w:val="22"/>
          <w:szCs w:val="22"/>
        </w:rPr>
        <w:t xml:space="preserve">, </w:t>
      </w:r>
      <w:r w:rsidR="00DF1BBC">
        <w:rPr>
          <w:rFonts w:ascii="Arial" w:hAnsi="Arial" w:cs="Arial"/>
          <w:sz w:val="22"/>
          <w:szCs w:val="22"/>
        </w:rPr>
        <w:t xml:space="preserve">poiché </w:t>
      </w:r>
      <w:r w:rsidR="00DF1BBC" w:rsidRPr="00FD1DCE">
        <w:rPr>
          <w:rFonts w:ascii="Arial" w:hAnsi="Arial" w:cs="Arial"/>
          <w:sz w:val="22"/>
          <w:szCs w:val="22"/>
        </w:rPr>
        <w:t xml:space="preserve">l’iscrizione </w:t>
      </w:r>
      <w:r w:rsidR="003566CC">
        <w:rPr>
          <w:rFonts w:ascii="Arial" w:hAnsi="Arial" w:cs="Arial"/>
          <w:sz w:val="22"/>
          <w:szCs w:val="22"/>
        </w:rPr>
        <w:t>nell’</w:t>
      </w:r>
      <w:r w:rsidRPr="00FD1DCE">
        <w:rPr>
          <w:rFonts w:ascii="Arial" w:hAnsi="Arial" w:cs="Arial"/>
          <w:sz w:val="22"/>
          <w:szCs w:val="22"/>
        </w:rPr>
        <w:t>anagrafe di</w:t>
      </w:r>
      <w:r w:rsidR="003566CC">
        <w:rPr>
          <w:rFonts w:ascii="Arial" w:hAnsi="Arial" w:cs="Arial"/>
          <w:sz w:val="22"/>
          <w:szCs w:val="22"/>
        </w:rPr>
        <w:t xml:space="preserve"> un</w:t>
      </w:r>
      <w:r w:rsidR="00DF1BBC" w:rsidRPr="00FD1DCE">
        <w:rPr>
          <w:rFonts w:ascii="Arial" w:hAnsi="Arial" w:cs="Arial"/>
          <w:sz w:val="22"/>
          <w:szCs w:val="22"/>
        </w:rPr>
        <w:t xml:space="preserve"> Comune italiano </w:t>
      </w:r>
      <w:r w:rsidR="00421C06">
        <w:rPr>
          <w:rFonts w:ascii="Arial" w:hAnsi="Arial" w:cs="Arial"/>
          <w:sz w:val="22"/>
          <w:szCs w:val="22"/>
        </w:rPr>
        <w:t xml:space="preserve">è un presupposto per </w:t>
      </w:r>
      <w:r w:rsidR="00227D78">
        <w:rPr>
          <w:rFonts w:ascii="Arial" w:hAnsi="Arial" w:cs="Arial"/>
          <w:sz w:val="22"/>
          <w:szCs w:val="22"/>
        </w:rPr>
        <w:t>rimuove</w:t>
      </w:r>
      <w:r w:rsidR="00A83DE9">
        <w:rPr>
          <w:rFonts w:ascii="Arial" w:hAnsi="Arial" w:cs="Arial"/>
          <w:sz w:val="22"/>
          <w:szCs w:val="22"/>
        </w:rPr>
        <w:t>re</w:t>
      </w:r>
      <w:r w:rsidR="00227D78">
        <w:rPr>
          <w:rFonts w:ascii="Arial" w:hAnsi="Arial" w:cs="Arial"/>
          <w:sz w:val="22"/>
          <w:szCs w:val="22"/>
        </w:rPr>
        <w:t xml:space="preserve"> le </w:t>
      </w:r>
      <w:r w:rsidR="00227D78" w:rsidRPr="00227D78">
        <w:rPr>
          <w:rFonts w:ascii="Arial" w:hAnsi="Arial" w:cs="Arial"/>
          <w:sz w:val="22"/>
          <w:szCs w:val="22"/>
        </w:rPr>
        <w:t xml:space="preserve">barriere </w:t>
      </w:r>
      <w:r w:rsidR="00421C06">
        <w:rPr>
          <w:rFonts w:ascii="Arial" w:hAnsi="Arial" w:cs="Arial"/>
          <w:sz w:val="22"/>
          <w:szCs w:val="22"/>
        </w:rPr>
        <w:t xml:space="preserve">che </w:t>
      </w:r>
      <w:r w:rsidR="00227D78" w:rsidRPr="00227D78">
        <w:rPr>
          <w:rFonts w:ascii="Arial" w:hAnsi="Arial" w:cs="Arial"/>
          <w:sz w:val="22"/>
          <w:szCs w:val="22"/>
        </w:rPr>
        <w:t>la condizione abitativa di emarginazione</w:t>
      </w:r>
      <w:r w:rsidR="00421C06">
        <w:rPr>
          <w:rFonts w:ascii="Arial" w:hAnsi="Arial" w:cs="Arial"/>
          <w:sz w:val="22"/>
          <w:szCs w:val="22"/>
        </w:rPr>
        <w:t xml:space="preserve"> può creare</w:t>
      </w:r>
      <w:r w:rsidR="00227D78" w:rsidRPr="00227D78">
        <w:rPr>
          <w:rFonts w:ascii="Arial" w:hAnsi="Arial" w:cs="Arial"/>
          <w:sz w:val="22"/>
          <w:szCs w:val="22"/>
        </w:rPr>
        <w:t xml:space="preserve"> </w:t>
      </w:r>
      <w:r w:rsidR="00421C06">
        <w:rPr>
          <w:rFonts w:ascii="Arial" w:hAnsi="Arial" w:cs="Arial"/>
          <w:sz w:val="22"/>
          <w:szCs w:val="22"/>
        </w:rPr>
        <w:t>al</w:t>
      </w:r>
      <w:r w:rsidR="00227D78" w:rsidRPr="00227D78">
        <w:rPr>
          <w:rFonts w:ascii="Arial" w:hAnsi="Arial" w:cs="Arial"/>
          <w:sz w:val="22"/>
          <w:szCs w:val="22"/>
        </w:rPr>
        <w:t>l’accesso ai diritti fondamentali e</w:t>
      </w:r>
      <w:r w:rsidR="003566CC" w:rsidRPr="00FD1DCE">
        <w:rPr>
          <w:rFonts w:ascii="Arial" w:hAnsi="Arial" w:cs="Arial"/>
          <w:sz w:val="22"/>
          <w:szCs w:val="22"/>
        </w:rPr>
        <w:t xml:space="preserve"> ai </w:t>
      </w:r>
      <w:r w:rsidR="00816A23" w:rsidRPr="00FD1DCE">
        <w:rPr>
          <w:rFonts w:ascii="Arial" w:hAnsi="Arial" w:cs="Arial"/>
          <w:sz w:val="22"/>
          <w:szCs w:val="22"/>
        </w:rPr>
        <w:t xml:space="preserve">servizi </w:t>
      </w:r>
      <w:r w:rsidR="003566CC">
        <w:rPr>
          <w:rFonts w:ascii="Arial" w:hAnsi="Arial" w:cs="Arial"/>
          <w:sz w:val="22"/>
          <w:szCs w:val="22"/>
        </w:rPr>
        <w:t>presenti</w:t>
      </w:r>
      <w:r w:rsidR="00816A23" w:rsidRPr="00FD1DCE">
        <w:rPr>
          <w:rFonts w:ascii="Arial" w:hAnsi="Arial" w:cs="Arial"/>
          <w:sz w:val="22"/>
          <w:szCs w:val="22"/>
        </w:rPr>
        <w:t xml:space="preserve"> sul territorio.</w:t>
      </w:r>
      <w:r w:rsidR="00DF1BBC" w:rsidRPr="00FD1DCE">
        <w:rPr>
          <w:rFonts w:ascii="Arial" w:hAnsi="Arial" w:cs="Arial"/>
          <w:sz w:val="22"/>
          <w:szCs w:val="22"/>
        </w:rPr>
        <w:t xml:space="preserve"> </w:t>
      </w:r>
      <w:r w:rsidR="003F0831">
        <w:rPr>
          <w:rFonts w:ascii="Arial" w:hAnsi="Arial" w:cs="Arial"/>
          <w:sz w:val="22"/>
          <w:szCs w:val="22"/>
        </w:rPr>
        <w:t>Nel 2021</w:t>
      </w:r>
      <w:r w:rsidR="00421C06">
        <w:rPr>
          <w:rFonts w:ascii="Arial" w:hAnsi="Arial" w:cs="Arial"/>
          <w:sz w:val="22"/>
          <w:szCs w:val="22"/>
        </w:rPr>
        <w:t xml:space="preserve"> l’11% dei</w:t>
      </w:r>
      <w:r w:rsidR="00CB4D38" w:rsidRPr="00FD1DCE">
        <w:rPr>
          <w:rFonts w:ascii="Arial" w:hAnsi="Arial" w:cs="Arial"/>
          <w:sz w:val="22"/>
          <w:szCs w:val="22"/>
        </w:rPr>
        <w:t xml:space="preserve"> </w:t>
      </w:r>
      <w:r w:rsidR="00421C06">
        <w:rPr>
          <w:rFonts w:ascii="Arial" w:hAnsi="Arial" w:cs="Arial"/>
          <w:sz w:val="22"/>
          <w:szCs w:val="22"/>
        </w:rPr>
        <w:t>C</w:t>
      </w:r>
      <w:r w:rsidR="00CB4D38" w:rsidRPr="00FD1DCE">
        <w:rPr>
          <w:rFonts w:ascii="Arial" w:hAnsi="Arial" w:cs="Arial"/>
          <w:sz w:val="22"/>
          <w:szCs w:val="22"/>
        </w:rPr>
        <w:t xml:space="preserve">omuni ha </w:t>
      </w:r>
      <w:r w:rsidR="00421C06">
        <w:rPr>
          <w:rFonts w:ascii="Arial" w:hAnsi="Arial" w:cs="Arial"/>
          <w:sz w:val="22"/>
          <w:szCs w:val="22"/>
        </w:rPr>
        <w:t>registrato</w:t>
      </w:r>
      <w:r w:rsidR="00CB4D38" w:rsidRPr="00FD1DCE">
        <w:rPr>
          <w:rFonts w:ascii="Arial" w:hAnsi="Arial" w:cs="Arial"/>
          <w:sz w:val="22"/>
          <w:szCs w:val="22"/>
        </w:rPr>
        <w:t xml:space="preserve"> </w:t>
      </w:r>
      <w:r w:rsidR="00D908AB" w:rsidRPr="00FD1DCE">
        <w:rPr>
          <w:rFonts w:ascii="Arial" w:hAnsi="Arial" w:cs="Arial"/>
          <w:sz w:val="22"/>
          <w:szCs w:val="22"/>
        </w:rPr>
        <w:t>in anagrafe per</w:t>
      </w:r>
      <w:r w:rsidR="00421C06">
        <w:rPr>
          <w:rFonts w:ascii="Arial" w:hAnsi="Arial" w:cs="Arial"/>
          <w:sz w:val="22"/>
          <w:szCs w:val="22"/>
        </w:rPr>
        <w:t>sone senza dimora per</w:t>
      </w:r>
      <w:r w:rsidR="00D908AB" w:rsidRPr="00FD1DCE">
        <w:rPr>
          <w:rFonts w:ascii="Arial" w:hAnsi="Arial" w:cs="Arial"/>
          <w:sz w:val="22"/>
          <w:szCs w:val="22"/>
        </w:rPr>
        <w:t xml:space="preserve"> la </w:t>
      </w:r>
      <w:r w:rsidR="003A3CEE" w:rsidRPr="00D323C8">
        <w:rPr>
          <w:rFonts w:ascii="Arial" w:hAnsi="Arial" w:cs="Arial"/>
          <w:sz w:val="22"/>
          <w:szCs w:val="22"/>
        </w:rPr>
        <w:t>residenza fittizia</w:t>
      </w:r>
      <w:r w:rsidR="00421C06">
        <w:rPr>
          <w:rFonts w:ascii="Arial" w:hAnsi="Arial" w:cs="Arial"/>
          <w:sz w:val="22"/>
          <w:szCs w:val="22"/>
        </w:rPr>
        <w:t>,</w:t>
      </w:r>
      <w:r w:rsidR="003A3CEE" w:rsidRPr="00D323C8">
        <w:rPr>
          <w:rFonts w:ascii="Arial" w:hAnsi="Arial" w:cs="Arial"/>
          <w:sz w:val="22"/>
          <w:szCs w:val="22"/>
        </w:rPr>
        <w:t xml:space="preserve"> </w:t>
      </w:r>
      <w:r w:rsidR="00421C06">
        <w:rPr>
          <w:rFonts w:ascii="Arial" w:hAnsi="Arial" w:cs="Arial"/>
          <w:sz w:val="22"/>
          <w:szCs w:val="22"/>
        </w:rPr>
        <w:t>per un</w:t>
      </w:r>
      <w:r w:rsidR="00D908AB">
        <w:rPr>
          <w:rFonts w:ascii="Arial" w:hAnsi="Arial" w:cs="Arial"/>
          <w:sz w:val="22"/>
          <w:szCs w:val="22"/>
        </w:rPr>
        <w:t xml:space="preserve"> totale </w:t>
      </w:r>
      <w:r w:rsidR="00421C06">
        <w:rPr>
          <w:rFonts w:ascii="Arial" w:hAnsi="Arial" w:cs="Arial"/>
          <w:sz w:val="22"/>
          <w:szCs w:val="22"/>
        </w:rPr>
        <w:t>di quasi</w:t>
      </w:r>
      <w:r w:rsidR="00421C06" w:rsidRPr="00D323C8">
        <w:rPr>
          <w:rFonts w:ascii="Arial" w:hAnsi="Arial" w:cs="Arial"/>
          <w:sz w:val="22"/>
          <w:szCs w:val="22"/>
        </w:rPr>
        <w:t xml:space="preserve"> 29.</w:t>
      </w:r>
      <w:r w:rsidR="00421C06">
        <w:rPr>
          <w:rFonts w:ascii="Arial" w:hAnsi="Arial" w:cs="Arial"/>
          <w:sz w:val="22"/>
          <w:szCs w:val="22"/>
        </w:rPr>
        <w:t>7</w:t>
      </w:r>
      <w:r w:rsidR="00421C06" w:rsidRPr="00D323C8">
        <w:rPr>
          <w:rFonts w:ascii="Arial" w:hAnsi="Arial" w:cs="Arial"/>
          <w:sz w:val="22"/>
          <w:szCs w:val="22"/>
        </w:rPr>
        <w:t>00</w:t>
      </w:r>
      <w:r w:rsidR="00421C06">
        <w:rPr>
          <w:rFonts w:ascii="Arial" w:hAnsi="Arial" w:cs="Arial"/>
          <w:sz w:val="22"/>
          <w:szCs w:val="22"/>
        </w:rPr>
        <w:t xml:space="preserve"> </w:t>
      </w:r>
      <w:r w:rsidR="00D908AB">
        <w:rPr>
          <w:rFonts w:ascii="Arial" w:hAnsi="Arial" w:cs="Arial"/>
          <w:sz w:val="22"/>
          <w:szCs w:val="22"/>
        </w:rPr>
        <w:t>persone</w:t>
      </w:r>
      <w:r w:rsidR="008B7EFE">
        <w:rPr>
          <w:rFonts w:ascii="Arial" w:hAnsi="Arial" w:cs="Arial"/>
          <w:sz w:val="22"/>
          <w:szCs w:val="22"/>
        </w:rPr>
        <w:t xml:space="preserve">, circa </w:t>
      </w:r>
      <w:r w:rsidR="00421C06">
        <w:rPr>
          <w:rFonts w:ascii="Arial" w:hAnsi="Arial" w:cs="Arial"/>
          <w:sz w:val="22"/>
          <w:szCs w:val="22"/>
        </w:rPr>
        <w:t>4.800 in più rispetto al</w:t>
      </w:r>
      <w:r w:rsidR="008B7EFE">
        <w:rPr>
          <w:rFonts w:ascii="Arial" w:hAnsi="Arial" w:cs="Arial"/>
          <w:sz w:val="22"/>
          <w:szCs w:val="22"/>
        </w:rPr>
        <w:t xml:space="preserve"> 2019</w:t>
      </w:r>
      <w:r w:rsidR="00421C06">
        <w:rPr>
          <w:rFonts w:ascii="Arial" w:hAnsi="Arial" w:cs="Arial"/>
          <w:sz w:val="22"/>
          <w:szCs w:val="22"/>
        </w:rPr>
        <w:t>.</w:t>
      </w:r>
      <w:r w:rsidR="008B7EFE" w:rsidRPr="00FD1DCE">
        <w:rPr>
          <w:rFonts w:ascii="Arial" w:hAnsi="Arial" w:cs="Arial"/>
          <w:sz w:val="22"/>
          <w:szCs w:val="22"/>
        </w:rPr>
        <w:t xml:space="preserve"> </w:t>
      </w:r>
    </w:p>
    <w:p w14:paraId="6718ED5B" w14:textId="0680BD03" w:rsidR="004B2B52" w:rsidRDefault="0050469B" w:rsidP="00961647">
      <w:pPr>
        <w:autoSpaceDE w:val="0"/>
        <w:autoSpaceDN w:val="0"/>
        <w:adjustRightInd w:val="0"/>
        <w:spacing w:after="40"/>
        <w:jc w:val="both"/>
        <w:rPr>
          <w:rFonts w:ascii="Arial" w:hAnsi="Arial" w:cs="Arial"/>
          <w:sz w:val="22"/>
          <w:szCs w:val="22"/>
        </w:rPr>
      </w:pPr>
      <w:r>
        <w:rPr>
          <w:rFonts w:ascii="Arial" w:hAnsi="Arial" w:cs="Arial"/>
          <w:sz w:val="22"/>
          <w:szCs w:val="22"/>
        </w:rPr>
        <w:t xml:space="preserve">Un’altra forma di intervento </w:t>
      </w:r>
      <w:r w:rsidR="001172E3" w:rsidRPr="00DF6613">
        <w:rPr>
          <w:rFonts w:ascii="Arial" w:hAnsi="Arial" w:cs="Arial"/>
          <w:sz w:val="22"/>
          <w:szCs w:val="22"/>
        </w:rPr>
        <w:t>per il contrasto alla povertà</w:t>
      </w:r>
      <w:r w:rsidR="001172E3" w:rsidRPr="00D323C8">
        <w:rPr>
          <w:rFonts w:ascii="Arial" w:hAnsi="Arial" w:cs="Arial"/>
          <w:sz w:val="22"/>
          <w:szCs w:val="22"/>
        </w:rPr>
        <w:t xml:space="preserve"> </w:t>
      </w:r>
      <w:r w:rsidR="006C71E8">
        <w:rPr>
          <w:rFonts w:ascii="Arial" w:hAnsi="Arial" w:cs="Arial"/>
          <w:sz w:val="22"/>
          <w:szCs w:val="22"/>
        </w:rPr>
        <w:t>è</w:t>
      </w:r>
      <w:r w:rsidR="006C71E8" w:rsidRPr="00D323C8">
        <w:rPr>
          <w:rFonts w:ascii="Arial" w:hAnsi="Arial" w:cs="Arial"/>
          <w:sz w:val="22"/>
          <w:szCs w:val="22"/>
        </w:rPr>
        <w:t xml:space="preserve"> </w:t>
      </w:r>
      <w:r w:rsidR="001172E3">
        <w:rPr>
          <w:rFonts w:ascii="Arial" w:hAnsi="Arial" w:cs="Arial"/>
          <w:sz w:val="22"/>
          <w:szCs w:val="22"/>
        </w:rPr>
        <w:t xml:space="preserve">la </w:t>
      </w:r>
      <w:r w:rsidR="004B2B52">
        <w:rPr>
          <w:rFonts w:ascii="Arial" w:hAnsi="Arial" w:cs="Arial"/>
          <w:sz w:val="22"/>
          <w:szCs w:val="22"/>
        </w:rPr>
        <w:t>distribuzione d</w:t>
      </w:r>
      <w:r w:rsidR="001172E3">
        <w:rPr>
          <w:rFonts w:ascii="Arial" w:hAnsi="Arial" w:cs="Arial"/>
          <w:sz w:val="22"/>
          <w:szCs w:val="22"/>
        </w:rPr>
        <w:t xml:space="preserve">i beni di prima necessità, che ha interessato </w:t>
      </w:r>
      <w:r w:rsidR="004B2B52">
        <w:rPr>
          <w:rFonts w:ascii="Arial" w:hAnsi="Arial" w:cs="Arial"/>
          <w:sz w:val="22"/>
          <w:szCs w:val="22"/>
        </w:rPr>
        <w:t>quasi 46mila</w:t>
      </w:r>
      <w:r w:rsidR="001172E3">
        <w:rPr>
          <w:rFonts w:ascii="Arial" w:hAnsi="Arial" w:cs="Arial"/>
          <w:sz w:val="22"/>
          <w:szCs w:val="22"/>
        </w:rPr>
        <w:t xml:space="preserve"> persone e famiglie</w:t>
      </w:r>
      <w:r w:rsidR="004B2B52">
        <w:rPr>
          <w:rFonts w:ascii="Arial" w:hAnsi="Arial" w:cs="Arial"/>
          <w:sz w:val="22"/>
          <w:szCs w:val="22"/>
        </w:rPr>
        <w:t xml:space="preserve">, circa </w:t>
      </w:r>
      <w:r w:rsidR="004B2B52" w:rsidRPr="00D323C8">
        <w:rPr>
          <w:rFonts w:ascii="Arial" w:hAnsi="Arial" w:cs="Arial"/>
          <w:sz w:val="22"/>
          <w:szCs w:val="22"/>
        </w:rPr>
        <w:t>15</w:t>
      </w:r>
      <w:r w:rsidR="00190E36">
        <w:rPr>
          <w:rFonts w:ascii="Arial" w:hAnsi="Arial" w:cs="Arial"/>
          <w:sz w:val="22"/>
          <w:szCs w:val="22"/>
        </w:rPr>
        <w:t>mila</w:t>
      </w:r>
      <w:r w:rsidR="004B2B52">
        <w:rPr>
          <w:rFonts w:ascii="Arial" w:hAnsi="Arial" w:cs="Arial"/>
          <w:sz w:val="22"/>
          <w:szCs w:val="22"/>
        </w:rPr>
        <w:t xml:space="preserve"> in più rispetto a</w:t>
      </w:r>
      <w:r w:rsidR="004B2B52" w:rsidRPr="00D323C8">
        <w:rPr>
          <w:rFonts w:ascii="Arial" w:hAnsi="Arial" w:cs="Arial"/>
          <w:sz w:val="22"/>
          <w:szCs w:val="22"/>
        </w:rPr>
        <w:t xml:space="preserve"> due anni</w:t>
      </w:r>
      <w:r w:rsidR="004B2B52">
        <w:rPr>
          <w:rFonts w:ascii="Arial" w:hAnsi="Arial" w:cs="Arial"/>
          <w:sz w:val="22"/>
          <w:szCs w:val="22"/>
        </w:rPr>
        <w:t xml:space="preserve"> prima</w:t>
      </w:r>
      <w:r w:rsidR="004B2B52" w:rsidRPr="00D323C8">
        <w:rPr>
          <w:rFonts w:ascii="Arial" w:hAnsi="Arial" w:cs="Arial"/>
          <w:sz w:val="22"/>
          <w:szCs w:val="22"/>
        </w:rPr>
        <w:t>.</w:t>
      </w:r>
    </w:p>
    <w:p w14:paraId="74F74FCE" w14:textId="7F8E4014" w:rsidR="001172E3" w:rsidRDefault="001172E3" w:rsidP="00961647">
      <w:pPr>
        <w:autoSpaceDE w:val="0"/>
        <w:autoSpaceDN w:val="0"/>
        <w:adjustRightInd w:val="0"/>
        <w:spacing w:after="40"/>
        <w:jc w:val="both"/>
        <w:rPr>
          <w:rFonts w:ascii="Arial" w:hAnsi="Arial" w:cs="Arial"/>
          <w:sz w:val="22"/>
          <w:szCs w:val="22"/>
        </w:rPr>
      </w:pPr>
      <w:r w:rsidRPr="006343EE">
        <w:rPr>
          <w:rFonts w:ascii="Arial" w:hAnsi="Arial" w:cs="Arial"/>
          <w:sz w:val="22"/>
          <w:szCs w:val="22"/>
        </w:rPr>
        <w:t xml:space="preserve">In forte aumento anche altri tipi di contributi per sostenere le </w:t>
      </w:r>
      <w:r w:rsidR="00DF6613">
        <w:rPr>
          <w:rFonts w:ascii="Arial" w:hAnsi="Arial" w:cs="Arial"/>
          <w:sz w:val="22"/>
          <w:szCs w:val="22"/>
        </w:rPr>
        <w:t>persone</w:t>
      </w:r>
      <w:r w:rsidRPr="006343EE">
        <w:rPr>
          <w:rFonts w:ascii="Arial" w:hAnsi="Arial" w:cs="Arial"/>
          <w:sz w:val="22"/>
          <w:szCs w:val="22"/>
        </w:rPr>
        <w:t xml:space="preserve"> in difficoltà economica</w:t>
      </w:r>
      <w:r>
        <w:rPr>
          <w:rFonts w:ascii="Arial" w:hAnsi="Arial" w:cs="Arial"/>
          <w:sz w:val="22"/>
          <w:szCs w:val="22"/>
        </w:rPr>
        <w:t xml:space="preserve">, </w:t>
      </w:r>
      <w:r w:rsidR="00DF6613">
        <w:rPr>
          <w:rFonts w:ascii="Arial" w:hAnsi="Arial" w:cs="Arial"/>
          <w:sz w:val="22"/>
          <w:szCs w:val="22"/>
        </w:rPr>
        <w:t xml:space="preserve">che </w:t>
      </w:r>
      <w:r w:rsidR="006C71E8">
        <w:rPr>
          <w:rFonts w:ascii="Arial" w:hAnsi="Arial" w:cs="Arial"/>
          <w:sz w:val="22"/>
          <w:szCs w:val="22"/>
        </w:rPr>
        <w:t>interessano</w:t>
      </w:r>
      <w:r w:rsidR="00DF6613">
        <w:rPr>
          <w:rFonts w:ascii="Arial" w:hAnsi="Arial" w:cs="Arial"/>
          <w:sz w:val="22"/>
          <w:szCs w:val="22"/>
        </w:rPr>
        <w:t xml:space="preserve"> diverse aree di utenza (famiglie con figli, anziani, disabili): </w:t>
      </w:r>
      <w:r w:rsidRPr="006343EE">
        <w:rPr>
          <w:rFonts w:ascii="Arial" w:hAnsi="Arial" w:cs="Arial"/>
          <w:sz w:val="22"/>
          <w:szCs w:val="22"/>
        </w:rPr>
        <w:t>i contributi a integrazione del reddito familiare</w:t>
      </w:r>
      <w:r w:rsidR="00DF6613">
        <w:rPr>
          <w:rFonts w:ascii="Arial" w:hAnsi="Arial" w:cs="Arial"/>
          <w:sz w:val="22"/>
          <w:szCs w:val="22"/>
        </w:rPr>
        <w:t xml:space="preserve"> </w:t>
      </w:r>
      <w:r w:rsidR="00DF6613" w:rsidRPr="00BB63E8">
        <w:rPr>
          <w:rFonts w:ascii="Arial" w:hAnsi="Arial" w:cs="Arial"/>
          <w:sz w:val="22"/>
          <w:szCs w:val="22"/>
        </w:rPr>
        <w:t xml:space="preserve">sono passati da poco più di </w:t>
      </w:r>
      <w:r w:rsidR="00AE3752" w:rsidRPr="00BB63E8">
        <w:rPr>
          <w:rFonts w:ascii="Arial" w:hAnsi="Arial" w:cs="Arial"/>
          <w:sz w:val="22"/>
          <w:szCs w:val="22"/>
        </w:rPr>
        <w:t>2</w:t>
      </w:r>
      <w:r w:rsidR="00AE3752">
        <w:rPr>
          <w:rFonts w:ascii="Arial" w:hAnsi="Arial" w:cs="Arial"/>
          <w:sz w:val="22"/>
          <w:szCs w:val="22"/>
        </w:rPr>
        <w:t>26</w:t>
      </w:r>
      <w:r w:rsidR="00AE3752" w:rsidRPr="00BB63E8">
        <w:rPr>
          <w:rFonts w:ascii="Arial" w:hAnsi="Arial" w:cs="Arial"/>
          <w:sz w:val="22"/>
          <w:szCs w:val="22"/>
        </w:rPr>
        <w:t xml:space="preserve">mila </w:t>
      </w:r>
      <w:r w:rsidR="00DF6613" w:rsidRPr="00BB63E8">
        <w:rPr>
          <w:rFonts w:ascii="Arial" w:hAnsi="Arial" w:cs="Arial"/>
          <w:sz w:val="22"/>
          <w:szCs w:val="22"/>
        </w:rPr>
        <w:t>utenti nel 2019 a oltre 315mila nel 2021</w:t>
      </w:r>
      <w:r w:rsidRPr="006343EE">
        <w:rPr>
          <w:rFonts w:ascii="Arial" w:hAnsi="Arial" w:cs="Arial"/>
          <w:sz w:val="22"/>
          <w:szCs w:val="22"/>
        </w:rPr>
        <w:t xml:space="preserve">, </w:t>
      </w:r>
      <w:r w:rsidR="00BB63E8">
        <w:rPr>
          <w:rFonts w:ascii="Arial" w:hAnsi="Arial" w:cs="Arial"/>
          <w:sz w:val="22"/>
          <w:szCs w:val="22"/>
        </w:rPr>
        <w:t>i</w:t>
      </w:r>
      <w:r>
        <w:rPr>
          <w:rFonts w:ascii="Arial" w:hAnsi="Arial" w:cs="Arial"/>
          <w:sz w:val="22"/>
          <w:szCs w:val="22"/>
        </w:rPr>
        <w:t xml:space="preserve"> </w:t>
      </w:r>
      <w:r w:rsidR="00BB63E8">
        <w:rPr>
          <w:rFonts w:ascii="Arial" w:hAnsi="Arial" w:cs="Arial"/>
          <w:sz w:val="22"/>
          <w:szCs w:val="22"/>
        </w:rPr>
        <w:t>contributi</w:t>
      </w:r>
      <w:r>
        <w:rPr>
          <w:rFonts w:ascii="Arial" w:hAnsi="Arial" w:cs="Arial"/>
          <w:sz w:val="22"/>
          <w:szCs w:val="22"/>
        </w:rPr>
        <w:t xml:space="preserve"> </w:t>
      </w:r>
      <w:r w:rsidRPr="006343EE">
        <w:rPr>
          <w:rFonts w:ascii="Arial" w:hAnsi="Arial" w:cs="Arial"/>
          <w:sz w:val="22"/>
          <w:szCs w:val="22"/>
        </w:rPr>
        <w:t>per le spese di alloggio</w:t>
      </w:r>
      <w:r w:rsidR="0028173F">
        <w:rPr>
          <w:rFonts w:ascii="Arial" w:hAnsi="Arial" w:cs="Arial"/>
          <w:sz w:val="22"/>
          <w:szCs w:val="22"/>
        </w:rPr>
        <w:t xml:space="preserve"> sono stati</w:t>
      </w:r>
      <w:r w:rsidR="00DF6613" w:rsidRPr="00BB63E8">
        <w:rPr>
          <w:rFonts w:ascii="Arial" w:hAnsi="Arial" w:cs="Arial"/>
          <w:sz w:val="22"/>
          <w:szCs w:val="22"/>
        </w:rPr>
        <w:t xml:space="preserve"> erogati a più di 238mila nuclei familiari in difficoltà</w:t>
      </w:r>
      <w:r w:rsidR="0028173F" w:rsidRPr="00BB63E8">
        <w:rPr>
          <w:rFonts w:ascii="Arial" w:hAnsi="Arial" w:cs="Arial"/>
          <w:sz w:val="22"/>
          <w:szCs w:val="22"/>
        </w:rPr>
        <w:t xml:space="preserve"> (</w:t>
      </w:r>
      <w:r w:rsidR="00BB63E8" w:rsidRPr="00BB63E8">
        <w:rPr>
          <w:rFonts w:ascii="Arial" w:hAnsi="Arial" w:cs="Arial"/>
          <w:sz w:val="22"/>
          <w:szCs w:val="22"/>
        </w:rPr>
        <w:t>meno di 112mila nel</w:t>
      </w:r>
      <w:r w:rsidR="0028173F" w:rsidRPr="00BB63E8">
        <w:rPr>
          <w:rFonts w:ascii="Arial" w:hAnsi="Arial" w:cs="Arial"/>
          <w:sz w:val="22"/>
          <w:szCs w:val="22"/>
        </w:rPr>
        <w:t xml:space="preserve"> 2019), </w:t>
      </w:r>
      <w:r w:rsidR="00DF6613" w:rsidRPr="00BB63E8">
        <w:rPr>
          <w:rFonts w:ascii="Arial" w:hAnsi="Arial" w:cs="Arial"/>
          <w:sz w:val="22"/>
          <w:szCs w:val="22"/>
        </w:rPr>
        <w:t>di cui il 38,1% con figli minori</w:t>
      </w:r>
      <w:r w:rsidR="0028173F" w:rsidRPr="00BB63E8">
        <w:rPr>
          <w:rFonts w:ascii="Arial" w:hAnsi="Arial" w:cs="Arial"/>
          <w:sz w:val="22"/>
          <w:szCs w:val="22"/>
        </w:rPr>
        <w:t xml:space="preserve">, </w:t>
      </w:r>
      <w:r w:rsidR="00DF6613">
        <w:rPr>
          <w:rFonts w:ascii="Arial" w:hAnsi="Arial" w:cs="Arial"/>
          <w:sz w:val="22"/>
          <w:szCs w:val="22"/>
        </w:rPr>
        <w:t>i buoni spesa o buoni pasto</w:t>
      </w:r>
      <w:r w:rsidR="00BB63E8">
        <w:rPr>
          <w:rFonts w:ascii="Arial" w:hAnsi="Arial" w:cs="Arial"/>
          <w:sz w:val="22"/>
          <w:szCs w:val="22"/>
        </w:rPr>
        <w:t xml:space="preserve"> hanno interessato oltre 550mila persone e nuclei familiari (circa 21.</w:t>
      </w:r>
      <w:r w:rsidR="007B6C9B">
        <w:rPr>
          <w:rFonts w:ascii="Arial" w:hAnsi="Arial" w:cs="Arial"/>
          <w:sz w:val="22"/>
          <w:szCs w:val="22"/>
        </w:rPr>
        <w:t>5</w:t>
      </w:r>
      <w:r w:rsidR="00BB63E8">
        <w:rPr>
          <w:rFonts w:ascii="Arial" w:hAnsi="Arial" w:cs="Arial"/>
          <w:sz w:val="22"/>
          <w:szCs w:val="22"/>
        </w:rPr>
        <w:t>00 nel 2019)</w:t>
      </w:r>
      <w:r w:rsidRPr="006343EE">
        <w:rPr>
          <w:rFonts w:ascii="Arial" w:hAnsi="Arial" w:cs="Arial"/>
          <w:sz w:val="22"/>
          <w:szCs w:val="22"/>
        </w:rPr>
        <w:t>.</w:t>
      </w:r>
      <w:r w:rsidR="00DF6613">
        <w:rPr>
          <w:rFonts w:ascii="Arial" w:hAnsi="Arial" w:cs="Arial"/>
          <w:sz w:val="22"/>
          <w:szCs w:val="22"/>
        </w:rPr>
        <w:t xml:space="preserve"> </w:t>
      </w:r>
    </w:p>
    <w:p w14:paraId="0F3D3CA0" w14:textId="77777777" w:rsidR="00C05F81" w:rsidRDefault="00C05F81" w:rsidP="00961647">
      <w:pPr>
        <w:autoSpaceDE w:val="0"/>
        <w:autoSpaceDN w:val="0"/>
        <w:adjustRightInd w:val="0"/>
        <w:spacing w:after="40"/>
        <w:jc w:val="both"/>
        <w:rPr>
          <w:rFonts w:ascii="Arial" w:hAnsi="Arial" w:cs="Arial"/>
          <w:sz w:val="22"/>
          <w:szCs w:val="22"/>
        </w:rPr>
      </w:pPr>
    </w:p>
    <w:p w14:paraId="17D07886" w14:textId="4AC71FD1" w:rsidR="00C565D5" w:rsidRDefault="00C565D5" w:rsidP="00327177">
      <w:pPr>
        <w:jc w:val="both"/>
        <w:outlineLvl w:val="0"/>
        <w:rPr>
          <w:rFonts w:ascii="Arial Narrow" w:hAnsi="Arial Narrow" w:cs="Arial"/>
          <w:iCs/>
          <w:noProof/>
          <w:color w:val="1F497D" w:themeColor="text2"/>
          <w:sz w:val="22"/>
          <w:szCs w:val="22"/>
        </w:rPr>
      </w:pPr>
      <w:r>
        <w:rPr>
          <w:rFonts w:ascii="Arial Black" w:hAnsi="Arial Black" w:cs="Arial"/>
          <w:iCs/>
          <w:noProof/>
          <w:color w:val="1F497D" w:themeColor="text2"/>
          <w:sz w:val="22"/>
          <w:szCs w:val="22"/>
        </w:rPr>
        <w:t>F</w:t>
      </w:r>
      <w:r w:rsidRPr="005D02DA">
        <w:rPr>
          <w:rFonts w:ascii="Arial Black" w:hAnsi="Arial Black" w:cs="Arial"/>
          <w:iCs/>
          <w:noProof/>
          <w:color w:val="1F497D" w:themeColor="text2"/>
          <w:sz w:val="22"/>
          <w:szCs w:val="22"/>
        </w:rPr>
        <w:t xml:space="preserve">IGURA </w:t>
      </w:r>
      <w:r w:rsidR="00F66C9B">
        <w:rPr>
          <w:rFonts w:ascii="Arial Black" w:hAnsi="Arial Black" w:cs="Arial"/>
          <w:iCs/>
          <w:noProof/>
          <w:color w:val="1F497D" w:themeColor="text2"/>
          <w:sz w:val="22"/>
          <w:szCs w:val="22"/>
        </w:rPr>
        <w:t>5</w:t>
      </w:r>
      <w:r w:rsidRPr="005D02DA">
        <w:rPr>
          <w:rFonts w:ascii="Arial Black" w:hAnsi="Arial Black" w:cs="Arial"/>
          <w:iCs/>
          <w:noProof/>
          <w:color w:val="1F497D" w:themeColor="text2"/>
          <w:sz w:val="22"/>
          <w:szCs w:val="22"/>
        </w:rPr>
        <w:t>.</w:t>
      </w:r>
      <w:r w:rsidRPr="005D02DA">
        <w:rPr>
          <w:rFonts w:ascii="Arial Narrow" w:hAnsi="Arial Narrow" w:cs="Arial"/>
          <w:b/>
          <w:iCs/>
          <w:noProof/>
          <w:color w:val="1F497D" w:themeColor="text2"/>
          <w:sz w:val="22"/>
          <w:szCs w:val="22"/>
        </w:rPr>
        <w:t xml:space="preserve"> </w:t>
      </w:r>
      <w:r w:rsidRPr="00613177">
        <w:rPr>
          <w:rFonts w:ascii="Arial Narrow" w:hAnsi="Arial Narrow" w:cs="Arial"/>
          <w:b/>
          <w:iCs/>
          <w:caps/>
          <w:noProof/>
          <w:color w:val="1F497D" w:themeColor="text2"/>
          <w:sz w:val="22"/>
          <w:szCs w:val="22"/>
        </w:rPr>
        <w:t>Spesa</w:t>
      </w:r>
      <w:r>
        <w:rPr>
          <w:rFonts w:ascii="Arial Narrow" w:hAnsi="Arial Narrow" w:cs="Arial"/>
          <w:b/>
          <w:iCs/>
          <w:caps/>
          <w:noProof/>
          <w:color w:val="1F497D" w:themeColor="text2"/>
          <w:sz w:val="22"/>
          <w:szCs w:val="22"/>
        </w:rPr>
        <w:t xml:space="preserve"> dei comuni per interventi e servizi sociali nell’area “povertà e disagio adulti” </w:t>
      </w:r>
      <w:r>
        <w:rPr>
          <w:rFonts w:ascii="Arial Narrow" w:hAnsi="Arial Narrow" w:cs="Arial"/>
          <w:iCs/>
          <w:noProof/>
          <w:color w:val="1F497D" w:themeColor="text2"/>
          <w:sz w:val="22"/>
          <w:szCs w:val="22"/>
        </w:rPr>
        <w:t>(Euro per abitante di 18-64 anni)</w:t>
      </w:r>
      <w:r>
        <w:rPr>
          <w:rFonts w:ascii="Arial Narrow" w:hAnsi="Arial Narrow" w:cs="Arial"/>
          <w:b/>
          <w:iCs/>
          <w:caps/>
          <w:noProof/>
          <w:color w:val="1F497D" w:themeColor="text2"/>
          <w:sz w:val="22"/>
          <w:szCs w:val="22"/>
        </w:rPr>
        <w:t xml:space="preserve"> e percentuale di famiglia in povertà assoluta, per ripartizione</w:t>
      </w:r>
      <w:r w:rsidRPr="006A04F7">
        <w:rPr>
          <w:rFonts w:ascii="Arial Narrow" w:hAnsi="Arial Narrow" w:cs="Arial"/>
          <w:b/>
          <w:iCs/>
          <w:caps/>
          <w:noProof/>
          <w:color w:val="1F497D" w:themeColor="text2"/>
          <w:sz w:val="22"/>
          <w:szCs w:val="22"/>
        </w:rPr>
        <w:t>.</w:t>
      </w:r>
      <w:r w:rsidRPr="009F29C3">
        <w:rPr>
          <w:rFonts w:ascii="Arial" w:hAnsi="Arial" w:cs="Arial"/>
          <w:b/>
          <w:color w:val="1F497D" w:themeColor="text2"/>
          <w:sz w:val="26"/>
          <w:szCs w:val="26"/>
        </w:rPr>
        <w:t xml:space="preserve"> </w:t>
      </w:r>
      <w:r w:rsidRPr="006A04F7">
        <w:rPr>
          <w:rFonts w:ascii="Arial Narrow" w:hAnsi="Arial Narrow" w:cs="Arial"/>
          <w:iCs/>
          <w:noProof/>
          <w:color w:val="1F497D" w:themeColor="text2"/>
          <w:sz w:val="22"/>
          <w:szCs w:val="22"/>
        </w:rPr>
        <w:t>Ann</w:t>
      </w:r>
      <w:r>
        <w:rPr>
          <w:rFonts w:ascii="Arial Narrow" w:hAnsi="Arial Narrow" w:cs="Arial"/>
          <w:iCs/>
          <w:noProof/>
          <w:color w:val="1F497D" w:themeColor="text2"/>
          <w:sz w:val="22"/>
          <w:szCs w:val="22"/>
        </w:rPr>
        <w:t xml:space="preserve">o </w:t>
      </w:r>
      <w:r w:rsidRPr="006A04F7">
        <w:rPr>
          <w:rFonts w:ascii="Arial Narrow" w:hAnsi="Arial Narrow" w:cs="Arial"/>
          <w:iCs/>
          <w:noProof/>
          <w:color w:val="1F497D" w:themeColor="text2"/>
          <w:sz w:val="22"/>
          <w:szCs w:val="22"/>
        </w:rPr>
        <w:t>20</w:t>
      </w:r>
      <w:r>
        <w:rPr>
          <w:rFonts w:ascii="Arial Narrow" w:hAnsi="Arial Narrow" w:cs="Arial"/>
          <w:iCs/>
          <w:noProof/>
          <w:color w:val="1F497D" w:themeColor="text2"/>
          <w:sz w:val="22"/>
          <w:szCs w:val="22"/>
        </w:rPr>
        <w:t>21</w:t>
      </w:r>
    </w:p>
    <w:p w14:paraId="541C68B2" w14:textId="6CD116DB" w:rsidR="00327177" w:rsidRDefault="001B69C7" w:rsidP="00327177">
      <w:pPr>
        <w:jc w:val="both"/>
        <w:outlineLvl w:val="0"/>
        <w:rPr>
          <w:rFonts w:ascii="Arial Narrow" w:hAnsi="Arial Narrow" w:cs="Arial"/>
          <w:iCs/>
          <w:noProof/>
          <w:color w:val="1F497D" w:themeColor="text2"/>
          <w:sz w:val="22"/>
          <w:szCs w:val="22"/>
        </w:rPr>
      </w:pPr>
      <w:r w:rsidRPr="00327177">
        <w:rPr>
          <w:rFonts w:ascii="Arial Narrow" w:hAnsi="Arial Narrow" w:cs="Arial"/>
          <w:b/>
          <w:iCs/>
          <w:caps/>
          <w:noProof/>
          <w:color w:val="1F497D" w:themeColor="text2"/>
          <w:sz w:val="16"/>
          <w:szCs w:val="16"/>
        </w:rPr>
        <mc:AlternateContent>
          <mc:Choice Requires="wps">
            <w:drawing>
              <wp:anchor distT="45720" distB="45720" distL="114300" distR="114300" simplePos="0" relativeHeight="251687936" behindDoc="0" locked="0" layoutInCell="1" allowOverlap="1" wp14:anchorId="0B6EAB83" wp14:editId="4A5BD7D7">
                <wp:simplePos x="0" y="0"/>
                <wp:positionH relativeFrom="column">
                  <wp:posOffset>3465830</wp:posOffset>
                </wp:positionH>
                <wp:positionV relativeFrom="paragraph">
                  <wp:posOffset>30480</wp:posOffset>
                </wp:positionV>
                <wp:extent cx="2463800" cy="203200"/>
                <wp:effectExtent l="0" t="0" r="0" b="6350"/>
                <wp:wrapNone/>
                <wp:docPr id="1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0" cy="203200"/>
                        </a:xfrm>
                        <a:prstGeom prst="rect">
                          <a:avLst/>
                        </a:prstGeom>
                        <a:noFill/>
                        <a:ln w="9525">
                          <a:noFill/>
                          <a:miter lim="800000"/>
                          <a:headEnd/>
                          <a:tailEnd/>
                        </a:ln>
                      </wps:spPr>
                      <wps:txbx>
                        <w:txbxContent>
                          <w:p w14:paraId="41A07F58" w14:textId="043531AF" w:rsidR="00EE139B" w:rsidRPr="001B69C7" w:rsidRDefault="00EE139B" w:rsidP="00C05556">
                            <w:pPr>
                              <w:rPr>
                                <w:rFonts w:ascii="Arial Narrow" w:hAnsi="Arial Narrow"/>
                                <w:b/>
                                <w:color w:val="1F497D" w:themeColor="text2"/>
                                <w:sz w:val="16"/>
                                <w:szCs w:val="16"/>
                              </w:rPr>
                            </w:pPr>
                            <w:r w:rsidRPr="001B69C7">
                              <w:rPr>
                                <w:rFonts w:ascii="Arial Narrow" w:hAnsi="Arial Narrow"/>
                                <w:b/>
                                <w:color w:val="1F497D" w:themeColor="text2"/>
                                <w:sz w:val="16"/>
                                <w:szCs w:val="16"/>
                              </w:rPr>
                              <w:t>PERCENTUALE DI FAMIGLIE IN POVERTÀ ASSOLUTA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0B6EAB83" id="_x0000_t202" coordsize="21600,21600" o:spt="202" path="m,l,21600r21600,l21600,xe">
                <v:stroke joinstyle="miter"/>
                <v:path gradientshapeok="t" o:connecttype="rect"/>
              </v:shapetype>
              <v:shape id="Casella di testo 2" o:spid="_x0000_s1026" type="#_x0000_t202" style="position:absolute;left:0;text-align:left;margin-left:272.9pt;margin-top:2.4pt;width:194pt;height:16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" filled="f" stroked="f">
                <v:textbox>
                  <w:txbxContent>
                    <w:p w14:paraId="41A07F58" w14:textId="043531AF" w:rsidR="00EE139B" w:rsidRPr="001B69C7" w:rsidRDefault="00EE139B" w:rsidP="00C05556">
                      <w:pPr>
                        <w:rPr>
                          <w:rFonts w:ascii="Arial Narrow" w:hAnsi="Arial Narrow"/>
                          <w:b/>
                          <w:color w:val="1F497D" w:themeColor="text2"/>
                          <w:sz w:val="16"/>
                          <w:szCs w:val="16"/>
                        </w:rPr>
                      </w:pPr>
                      <w:r w:rsidRPr="001B69C7">
                        <w:rPr>
                          <w:rFonts w:ascii="Arial Narrow" w:hAnsi="Arial Narrow"/>
                          <w:b/>
                          <w:color w:val="1F497D" w:themeColor="text2"/>
                          <w:sz w:val="16"/>
                          <w:szCs w:val="16"/>
                        </w:rPr>
                        <w:t>PERCENTUALE DI FAMIGLIE IN POVERTÀ ASSOLUTA</w:t>
                      </w:r>
                    </w:p>
                  </w:txbxContent>
                </v:textbox>
              </v:shape>
            </w:pict>
          </mc:Fallback>
        </mc:AlternateContent>
      </w:r>
      <w:r w:rsidRPr="00327177">
        <w:rPr>
          <w:rFonts w:ascii="Arial Narrow" w:hAnsi="Arial Narrow" w:cs="Arial"/>
          <w:b/>
          <w:iCs/>
          <w:caps/>
          <w:noProof/>
          <w:color w:val="1F497D" w:themeColor="text2"/>
          <w:sz w:val="16"/>
          <w:szCs w:val="16"/>
        </w:rPr>
        <mc:AlternateContent>
          <mc:Choice Requires="wps">
            <w:drawing>
              <wp:anchor distT="45720" distB="45720" distL="114300" distR="114300" simplePos="0" relativeHeight="251685888" behindDoc="0" locked="0" layoutInCell="1" allowOverlap="1" wp14:anchorId="6095B67A" wp14:editId="20453103">
                <wp:simplePos x="0" y="0"/>
                <wp:positionH relativeFrom="column">
                  <wp:posOffset>728980</wp:posOffset>
                </wp:positionH>
                <wp:positionV relativeFrom="paragraph">
                  <wp:posOffset>5080</wp:posOffset>
                </wp:positionV>
                <wp:extent cx="2292350" cy="1404620"/>
                <wp:effectExtent l="0" t="0" r="0" b="0"/>
                <wp:wrapNone/>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1404620"/>
                        </a:xfrm>
                        <a:prstGeom prst="rect">
                          <a:avLst/>
                        </a:prstGeom>
                        <a:noFill/>
                        <a:ln w="9525">
                          <a:noFill/>
                          <a:miter lim="800000"/>
                          <a:headEnd/>
                          <a:tailEnd/>
                        </a:ln>
                      </wps:spPr>
                      <wps:txbx>
                        <w:txbxContent>
                          <w:p w14:paraId="012315DC" w14:textId="77777777" w:rsidR="00EE139B" w:rsidRPr="001B69C7" w:rsidRDefault="00EE139B">
                            <w:pPr>
                              <w:rPr>
                                <w:rFonts w:ascii="Arial Narrow" w:hAnsi="Arial Narrow"/>
                                <w:b/>
                                <w:color w:val="1F497D" w:themeColor="text2"/>
                                <w:sz w:val="16"/>
                                <w:szCs w:val="16"/>
                              </w:rPr>
                            </w:pPr>
                            <w:r w:rsidRPr="001B69C7">
                              <w:rPr>
                                <w:rFonts w:ascii="Arial Narrow" w:hAnsi="Arial Narrow"/>
                                <w:b/>
                                <w:color w:val="1F497D" w:themeColor="text2"/>
                                <w:sz w:val="16"/>
                                <w:szCs w:val="16"/>
                              </w:rPr>
                              <w:t xml:space="preserve">SPESA PER INTERVENTI E SERVIZI SOCIALI </w:t>
                            </w:r>
                          </w:p>
                          <w:p w14:paraId="6695B722" w14:textId="38326A41" w:rsidR="00EE139B" w:rsidRPr="001B69C7" w:rsidRDefault="00EE139B">
                            <w:pPr>
                              <w:rPr>
                                <w:rFonts w:ascii="Arial Narrow" w:hAnsi="Arial Narrow"/>
                                <w:b/>
                                <w:color w:val="1F497D" w:themeColor="text2"/>
                                <w:sz w:val="16"/>
                                <w:szCs w:val="16"/>
                              </w:rPr>
                            </w:pPr>
                            <w:r w:rsidRPr="001B69C7">
                              <w:rPr>
                                <w:rFonts w:ascii="Arial Narrow" w:hAnsi="Arial Narrow"/>
                                <w:b/>
                                <w:color w:val="1F497D" w:themeColor="text2"/>
                                <w:sz w:val="16"/>
                                <w:szCs w:val="16"/>
                              </w:rPr>
                              <w:t>NELL’AREA “POVERTÀ E DISAGIO ADULTI”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6095B67A" id="_x0000_s1027" type="#_x0000_t202" style="position:absolute;left:0;text-align:left;margin-left:57.4pt;margin-top:.4pt;width:180.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" filled="f" stroked="f">
                <v:textbox style="mso-fit-shape-to-text:t">
                  <w:txbxContent>
                    <w:p w14:paraId="012315DC" w14:textId="77777777" w:rsidR="00EE139B" w:rsidRPr="001B69C7" w:rsidRDefault="00EE139B">
                      <w:pPr>
                        <w:rPr>
                          <w:rFonts w:ascii="Arial Narrow" w:hAnsi="Arial Narrow"/>
                          <w:b/>
                          <w:color w:val="1F497D" w:themeColor="text2"/>
                          <w:sz w:val="16"/>
                          <w:szCs w:val="16"/>
                        </w:rPr>
                      </w:pPr>
                      <w:r w:rsidRPr="001B69C7">
                        <w:rPr>
                          <w:rFonts w:ascii="Arial Narrow" w:hAnsi="Arial Narrow"/>
                          <w:b/>
                          <w:color w:val="1F497D" w:themeColor="text2"/>
                          <w:sz w:val="16"/>
                          <w:szCs w:val="16"/>
                        </w:rPr>
                        <w:t xml:space="preserve">SPESA PER INTERVENTI E SERVIZI SOCIALI </w:t>
                      </w:r>
                    </w:p>
                    <w:p w14:paraId="6695B722" w14:textId="38326A41" w:rsidR="00EE139B" w:rsidRPr="001B69C7" w:rsidRDefault="00EE139B">
                      <w:pPr>
                        <w:rPr>
                          <w:rFonts w:ascii="Arial Narrow" w:hAnsi="Arial Narrow"/>
                          <w:b/>
                          <w:color w:val="1F497D" w:themeColor="text2"/>
                          <w:sz w:val="16"/>
                          <w:szCs w:val="16"/>
                        </w:rPr>
                      </w:pPr>
                      <w:r w:rsidRPr="001B69C7">
                        <w:rPr>
                          <w:rFonts w:ascii="Arial Narrow" w:hAnsi="Arial Narrow"/>
                          <w:b/>
                          <w:color w:val="1F497D" w:themeColor="text2"/>
                          <w:sz w:val="16"/>
                          <w:szCs w:val="16"/>
                        </w:rPr>
                        <w:t>NELL’AREA “POVERTÀ E DISAGIO ADULTI”</w:t>
                      </w:r>
                    </w:p>
                  </w:txbxContent>
                </v:textbox>
              </v:shape>
            </w:pict>
          </mc:Fallback>
        </mc:AlternateContent>
      </w:r>
    </w:p>
    <w:p w14:paraId="29A6C96F" w14:textId="04B6B120" w:rsidR="00961647" w:rsidRPr="00961647" w:rsidRDefault="00961647" w:rsidP="00C565D5">
      <w:pPr>
        <w:spacing w:after="120"/>
        <w:jc w:val="both"/>
        <w:outlineLvl w:val="0"/>
        <w:rPr>
          <w:rFonts w:ascii="Arial Narrow" w:hAnsi="Arial Narrow" w:cs="Arial"/>
          <w:iCs/>
          <w:noProof/>
          <w:color w:val="1F497D" w:themeColor="text2"/>
          <w:sz w:val="2"/>
          <w:szCs w:val="22"/>
        </w:rPr>
      </w:pPr>
    </w:p>
    <w:p w14:paraId="14672763" w14:textId="710C1786" w:rsidR="00961647" w:rsidRDefault="00C565D5" w:rsidP="007B6C9B">
      <w:pPr>
        <w:autoSpaceDE w:val="0"/>
        <w:autoSpaceDN w:val="0"/>
        <w:adjustRightInd w:val="0"/>
        <w:spacing w:after="120"/>
        <w:jc w:val="both"/>
        <w:rPr>
          <w:rFonts w:ascii="Arial" w:hAnsi="Arial" w:cs="Arial"/>
          <w:sz w:val="22"/>
          <w:szCs w:val="22"/>
        </w:rPr>
      </w:pPr>
      <w:r>
        <w:rPr>
          <w:noProof/>
        </w:rPr>
        <w:drawing>
          <wp:inline distT="0" distB="0" distL="0" distR="0" wp14:anchorId="75EEFBD7" wp14:editId="227026B8">
            <wp:extent cx="3160395" cy="2124075"/>
            <wp:effectExtent l="0" t="0" r="0" b="0"/>
            <wp:docPr id="2" name="Gra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noProof/>
        </w:rPr>
        <w:drawing>
          <wp:inline distT="0" distB="0" distL="0" distR="0" wp14:anchorId="7BCE2A34" wp14:editId="6451FD98">
            <wp:extent cx="3057525" cy="2127250"/>
            <wp:effectExtent l="0" t="0" r="0" b="6350"/>
            <wp:docPr id="7" name="Gra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961647">
        <w:rPr>
          <w:rFonts w:ascii="Arial" w:hAnsi="Arial" w:cs="Arial"/>
          <w:sz w:val="22"/>
          <w:szCs w:val="22"/>
        </w:rPr>
        <w:br w:type="page"/>
      </w:r>
    </w:p>
    <w:p w14:paraId="20762BB9" w14:textId="2A798EC7" w:rsidR="003546B0" w:rsidRDefault="003546B0" w:rsidP="003266FE">
      <w:pPr>
        <w:autoSpaceDE w:val="0"/>
        <w:autoSpaceDN w:val="0"/>
        <w:adjustRightInd w:val="0"/>
        <w:spacing w:after="40"/>
        <w:jc w:val="both"/>
        <w:rPr>
          <w:rFonts w:ascii="Arial" w:hAnsi="Arial" w:cs="Arial"/>
          <w:sz w:val="22"/>
          <w:szCs w:val="22"/>
        </w:rPr>
      </w:pPr>
      <w:r>
        <w:rPr>
          <w:rFonts w:ascii="Arial" w:hAnsi="Arial" w:cs="Arial"/>
          <w:sz w:val="22"/>
          <w:szCs w:val="22"/>
        </w:rPr>
        <w:lastRenderedPageBreak/>
        <w:t xml:space="preserve">Diversamente da quanto è avvenuto con la precedente crisi economica, a cui ha fatto seguito </w:t>
      </w:r>
      <w:r w:rsidR="007B6C9B">
        <w:rPr>
          <w:rFonts w:ascii="Arial" w:hAnsi="Arial" w:cs="Arial"/>
          <w:sz w:val="22"/>
          <w:szCs w:val="22"/>
        </w:rPr>
        <w:t xml:space="preserve">tra il 2011 e il 2013 </w:t>
      </w:r>
      <w:r>
        <w:rPr>
          <w:rFonts w:ascii="Arial" w:hAnsi="Arial" w:cs="Arial"/>
          <w:sz w:val="22"/>
          <w:szCs w:val="22"/>
        </w:rPr>
        <w:t xml:space="preserve">una contrazione </w:t>
      </w:r>
      <w:r w:rsidR="002F40A4">
        <w:rPr>
          <w:rFonts w:ascii="Arial" w:hAnsi="Arial" w:cs="Arial"/>
          <w:sz w:val="22"/>
          <w:szCs w:val="22"/>
        </w:rPr>
        <w:t xml:space="preserve">delle risorse </w:t>
      </w:r>
      <w:r>
        <w:rPr>
          <w:rFonts w:ascii="Arial" w:hAnsi="Arial" w:cs="Arial"/>
          <w:sz w:val="22"/>
          <w:szCs w:val="22"/>
        </w:rPr>
        <w:t>dei Comuni</w:t>
      </w:r>
      <w:r w:rsidR="007B6C9B">
        <w:rPr>
          <w:rFonts w:ascii="Arial" w:hAnsi="Arial" w:cs="Arial"/>
          <w:sz w:val="22"/>
          <w:szCs w:val="22"/>
        </w:rPr>
        <w:t xml:space="preserve"> </w:t>
      </w:r>
      <w:r w:rsidR="002F40A4">
        <w:rPr>
          <w:rFonts w:ascii="Arial" w:hAnsi="Arial" w:cs="Arial"/>
          <w:sz w:val="22"/>
          <w:szCs w:val="22"/>
        </w:rPr>
        <w:t xml:space="preserve">della spesa sociale sul territorio </w:t>
      </w:r>
      <w:r w:rsidR="007B6C9B">
        <w:rPr>
          <w:rFonts w:ascii="Arial" w:hAnsi="Arial" w:cs="Arial"/>
          <w:sz w:val="22"/>
          <w:szCs w:val="22"/>
        </w:rPr>
        <w:t>(</w:t>
      </w:r>
      <w:r>
        <w:rPr>
          <w:rFonts w:ascii="Arial" w:hAnsi="Arial" w:cs="Arial"/>
          <w:sz w:val="22"/>
          <w:szCs w:val="22"/>
        </w:rPr>
        <w:t>in particolare per l’area di utenza riferita alla povertà</w:t>
      </w:r>
      <w:r w:rsidR="007B6C9B">
        <w:rPr>
          <w:rFonts w:ascii="Arial" w:hAnsi="Arial" w:cs="Arial"/>
          <w:sz w:val="22"/>
          <w:szCs w:val="22"/>
        </w:rPr>
        <w:t>)</w:t>
      </w:r>
      <w:r>
        <w:rPr>
          <w:rFonts w:ascii="Arial" w:hAnsi="Arial" w:cs="Arial"/>
          <w:sz w:val="22"/>
          <w:szCs w:val="22"/>
        </w:rPr>
        <w:t xml:space="preserve">, nel 2020 i Comuni hanno potuto impiegare specifici </w:t>
      </w:r>
      <w:r w:rsidR="002F40A4">
        <w:rPr>
          <w:rFonts w:ascii="Arial" w:hAnsi="Arial" w:cs="Arial"/>
          <w:sz w:val="22"/>
          <w:szCs w:val="22"/>
        </w:rPr>
        <w:t xml:space="preserve">finanziamenti </w:t>
      </w:r>
      <w:r>
        <w:rPr>
          <w:rFonts w:ascii="Arial" w:hAnsi="Arial" w:cs="Arial"/>
          <w:sz w:val="22"/>
          <w:szCs w:val="22"/>
        </w:rPr>
        <w:t>statali</w:t>
      </w:r>
      <w:r w:rsidR="002F40A4">
        <w:rPr>
          <w:rFonts w:ascii="Arial" w:hAnsi="Arial" w:cs="Arial"/>
          <w:sz w:val="22"/>
          <w:szCs w:val="22"/>
        </w:rPr>
        <w:t>, stanziati</w:t>
      </w:r>
      <w:r>
        <w:rPr>
          <w:rFonts w:ascii="Arial" w:hAnsi="Arial" w:cs="Arial"/>
          <w:sz w:val="22"/>
          <w:szCs w:val="22"/>
        </w:rPr>
        <w:t xml:space="preserve"> per contrastare </w:t>
      </w:r>
      <w:r w:rsidR="0065373C">
        <w:rPr>
          <w:rFonts w:ascii="Arial" w:hAnsi="Arial" w:cs="Arial"/>
          <w:sz w:val="22"/>
          <w:szCs w:val="22"/>
        </w:rPr>
        <w:t>l</w:t>
      </w:r>
      <w:r w:rsidR="002F40A4">
        <w:rPr>
          <w:rFonts w:ascii="Arial" w:hAnsi="Arial" w:cs="Arial"/>
          <w:sz w:val="22"/>
          <w:szCs w:val="22"/>
        </w:rPr>
        <w:t>’anomalo aumento dell</w:t>
      </w:r>
      <w:r w:rsidR="0065373C">
        <w:rPr>
          <w:rFonts w:ascii="Arial" w:hAnsi="Arial" w:cs="Arial"/>
          <w:sz w:val="22"/>
          <w:szCs w:val="22"/>
        </w:rPr>
        <w:t>a povertà</w:t>
      </w:r>
      <w:r>
        <w:rPr>
          <w:rFonts w:ascii="Arial" w:hAnsi="Arial" w:cs="Arial"/>
          <w:sz w:val="22"/>
          <w:szCs w:val="22"/>
        </w:rPr>
        <w:t xml:space="preserve"> e l’emergenza alimentare. </w:t>
      </w:r>
    </w:p>
    <w:p w14:paraId="46C48054" w14:textId="77777777" w:rsidR="00190E36" w:rsidRPr="003266FE" w:rsidRDefault="00190E36" w:rsidP="003266FE">
      <w:pPr>
        <w:autoSpaceDE w:val="0"/>
        <w:autoSpaceDN w:val="0"/>
        <w:adjustRightInd w:val="0"/>
        <w:spacing w:after="40"/>
        <w:jc w:val="both"/>
        <w:rPr>
          <w:rFonts w:ascii="Arial" w:hAnsi="Arial" w:cs="Arial"/>
          <w:sz w:val="10"/>
          <w:szCs w:val="22"/>
        </w:rPr>
      </w:pPr>
    </w:p>
    <w:p w14:paraId="284E3C1B" w14:textId="77777777" w:rsidR="00D86E0E" w:rsidRPr="00EC36B1" w:rsidRDefault="00D86E0E" w:rsidP="003266FE">
      <w:pPr>
        <w:spacing w:after="40"/>
        <w:jc w:val="both"/>
        <w:outlineLvl w:val="0"/>
        <w:rPr>
          <w:rFonts w:ascii="Arial" w:hAnsi="Arial" w:cs="Arial"/>
          <w:b/>
          <w:color w:val="1F497D" w:themeColor="text2"/>
          <w:sz w:val="26"/>
          <w:szCs w:val="26"/>
        </w:rPr>
      </w:pPr>
      <w:r>
        <w:rPr>
          <w:rFonts w:ascii="Arial" w:hAnsi="Arial" w:cs="Arial"/>
          <w:b/>
          <w:color w:val="1F497D" w:themeColor="text2"/>
          <w:sz w:val="26"/>
          <w:szCs w:val="26"/>
        </w:rPr>
        <w:t>In aumento la spesa per i centri antiviolenza</w:t>
      </w:r>
      <w:r w:rsidRPr="00EC36B1" w:rsidDel="00B21DA4">
        <w:rPr>
          <w:rFonts w:ascii="Arial" w:hAnsi="Arial" w:cs="Arial"/>
          <w:b/>
          <w:color w:val="1F497D" w:themeColor="text2"/>
          <w:sz w:val="26"/>
          <w:szCs w:val="26"/>
        </w:rPr>
        <w:t xml:space="preserve"> </w:t>
      </w:r>
      <w:r>
        <w:rPr>
          <w:rFonts w:ascii="Arial" w:hAnsi="Arial" w:cs="Arial"/>
          <w:b/>
          <w:color w:val="1F497D" w:themeColor="text2"/>
          <w:sz w:val="26"/>
          <w:szCs w:val="26"/>
        </w:rPr>
        <w:t>e le case rifugio</w:t>
      </w:r>
    </w:p>
    <w:p w14:paraId="5C649F24" w14:textId="77777777" w:rsidR="00D86E0E" w:rsidRDefault="00D86E0E" w:rsidP="003266FE">
      <w:pPr>
        <w:spacing w:after="40"/>
        <w:jc w:val="both"/>
        <w:outlineLvl w:val="0"/>
        <w:rPr>
          <w:rFonts w:ascii="Arial" w:hAnsi="Arial" w:cs="Arial"/>
          <w:sz w:val="22"/>
          <w:szCs w:val="22"/>
        </w:rPr>
      </w:pPr>
      <w:r>
        <w:rPr>
          <w:rFonts w:ascii="Arial" w:hAnsi="Arial" w:cs="Arial"/>
          <w:sz w:val="22"/>
          <w:szCs w:val="22"/>
        </w:rPr>
        <w:t>Tra le attività socio-assistenziali realizzate dai Comuni, rientra la gestione dei centri antiviolenza</w:t>
      </w:r>
      <w:r w:rsidRPr="004907D6">
        <w:rPr>
          <w:rFonts w:ascii="Arial" w:hAnsi="Arial" w:cs="Arial"/>
          <w:sz w:val="22"/>
          <w:szCs w:val="22"/>
        </w:rPr>
        <w:t xml:space="preserve"> </w:t>
      </w:r>
      <w:r>
        <w:rPr>
          <w:rFonts w:ascii="Arial" w:hAnsi="Arial" w:cs="Arial"/>
          <w:sz w:val="22"/>
          <w:szCs w:val="22"/>
        </w:rPr>
        <w:t>e le c</w:t>
      </w:r>
      <w:r w:rsidRPr="00950D90">
        <w:rPr>
          <w:rFonts w:ascii="Arial" w:hAnsi="Arial" w:cs="Arial"/>
          <w:sz w:val="22"/>
          <w:szCs w:val="22"/>
        </w:rPr>
        <w:t xml:space="preserve">ase rifugio </w:t>
      </w:r>
      <w:r>
        <w:rPr>
          <w:rFonts w:ascii="Arial" w:hAnsi="Arial" w:cs="Arial"/>
          <w:sz w:val="22"/>
          <w:szCs w:val="22"/>
        </w:rPr>
        <w:t xml:space="preserve">per le </w:t>
      </w:r>
      <w:r w:rsidRPr="00950D90">
        <w:rPr>
          <w:rFonts w:ascii="Arial" w:hAnsi="Arial" w:cs="Arial"/>
          <w:sz w:val="22"/>
          <w:szCs w:val="22"/>
        </w:rPr>
        <w:t xml:space="preserve">vittime di violenza di </w:t>
      </w:r>
      <w:r>
        <w:rPr>
          <w:rFonts w:ascii="Arial" w:hAnsi="Arial" w:cs="Arial"/>
          <w:sz w:val="22"/>
          <w:szCs w:val="22"/>
        </w:rPr>
        <w:t>g</w:t>
      </w:r>
      <w:r w:rsidRPr="00950D90">
        <w:rPr>
          <w:rFonts w:ascii="Arial" w:hAnsi="Arial" w:cs="Arial"/>
          <w:sz w:val="22"/>
          <w:szCs w:val="22"/>
        </w:rPr>
        <w:t>enere</w:t>
      </w:r>
      <w:r>
        <w:rPr>
          <w:rFonts w:ascii="Arial" w:hAnsi="Arial" w:cs="Arial"/>
          <w:sz w:val="22"/>
          <w:szCs w:val="22"/>
        </w:rPr>
        <w:t>. I centri antiviolenza</w:t>
      </w:r>
      <w:r w:rsidRPr="00950D90">
        <w:rPr>
          <w:rFonts w:ascii="Arial" w:hAnsi="Arial" w:cs="Arial"/>
          <w:sz w:val="22"/>
          <w:szCs w:val="22"/>
        </w:rPr>
        <w:t xml:space="preserve"> </w:t>
      </w:r>
      <w:r>
        <w:rPr>
          <w:rFonts w:ascii="Arial" w:hAnsi="Arial" w:cs="Arial"/>
          <w:sz w:val="22"/>
          <w:szCs w:val="22"/>
        </w:rPr>
        <w:t>forniscono</w:t>
      </w:r>
      <w:r w:rsidRPr="00950D90">
        <w:rPr>
          <w:rFonts w:ascii="Arial" w:hAnsi="Arial" w:cs="Arial"/>
          <w:sz w:val="22"/>
          <w:szCs w:val="22"/>
        </w:rPr>
        <w:t xml:space="preserve"> servizi di ascolto</w:t>
      </w:r>
      <w:r>
        <w:rPr>
          <w:rFonts w:ascii="Arial" w:hAnsi="Arial" w:cs="Arial"/>
          <w:sz w:val="22"/>
          <w:szCs w:val="22"/>
        </w:rPr>
        <w:t xml:space="preserve"> e accoglienza per</w:t>
      </w:r>
      <w:r w:rsidRPr="00950D90">
        <w:rPr>
          <w:rFonts w:ascii="Arial" w:hAnsi="Arial" w:cs="Arial"/>
          <w:sz w:val="22"/>
          <w:szCs w:val="22"/>
        </w:rPr>
        <w:t xml:space="preserve"> le donne vittime o esposte alla minaccia di violenza fisica e psicologica, </w:t>
      </w:r>
      <w:r>
        <w:rPr>
          <w:rFonts w:ascii="Arial" w:hAnsi="Arial" w:cs="Arial"/>
          <w:sz w:val="22"/>
          <w:szCs w:val="22"/>
        </w:rPr>
        <w:t>le c</w:t>
      </w:r>
      <w:r w:rsidRPr="00950D90">
        <w:rPr>
          <w:rFonts w:ascii="Arial" w:hAnsi="Arial" w:cs="Arial"/>
          <w:sz w:val="22"/>
          <w:szCs w:val="22"/>
        </w:rPr>
        <w:t>ase rifugio</w:t>
      </w:r>
      <w:r>
        <w:rPr>
          <w:rFonts w:ascii="Arial" w:hAnsi="Arial" w:cs="Arial"/>
          <w:sz w:val="22"/>
          <w:szCs w:val="22"/>
        </w:rPr>
        <w:t xml:space="preserve"> sono s</w:t>
      </w:r>
      <w:r w:rsidRPr="00950D90">
        <w:rPr>
          <w:rFonts w:ascii="Arial" w:hAnsi="Arial" w:cs="Arial"/>
          <w:sz w:val="22"/>
          <w:szCs w:val="22"/>
        </w:rPr>
        <w:t xml:space="preserve">trutture residenziali a indirizzo segreto, che </w:t>
      </w:r>
      <w:r>
        <w:rPr>
          <w:rFonts w:ascii="Arial" w:hAnsi="Arial" w:cs="Arial"/>
          <w:sz w:val="22"/>
          <w:szCs w:val="22"/>
        </w:rPr>
        <w:t>offrono un</w:t>
      </w:r>
      <w:r w:rsidRPr="00950D90">
        <w:rPr>
          <w:rFonts w:ascii="Arial" w:hAnsi="Arial" w:cs="Arial"/>
          <w:sz w:val="22"/>
          <w:szCs w:val="22"/>
        </w:rPr>
        <w:t xml:space="preserve"> alloggio sicuro</w:t>
      </w:r>
      <w:r>
        <w:rPr>
          <w:rFonts w:ascii="Arial" w:hAnsi="Arial" w:cs="Arial"/>
          <w:sz w:val="22"/>
          <w:szCs w:val="22"/>
        </w:rPr>
        <w:t xml:space="preserve"> e protezione alle </w:t>
      </w:r>
      <w:r w:rsidRPr="00950D90">
        <w:rPr>
          <w:rFonts w:ascii="Arial" w:hAnsi="Arial" w:cs="Arial"/>
          <w:sz w:val="22"/>
          <w:szCs w:val="22"/>
        </w:rPr>
        <w:t>donne che subiscono violenza e ai loro bambini</w:t>
      </w:r>
      <w:r>
        <w:rPr>
          <w:rFonts w:ascii="Arial" w:hAnsi="Arial" w:cs="Arial"/>
          <w:sz w:val="22"/>
          <w:szCs w:val="22"/>
        </w:rPr>
        <w:t xml:space="preserve">. </w:t>
      </w:r>
      <w:r w:rsidRPr="00950D90">
        <w:rPr>
          <w:rFonts w:ascii="Arial" w:hAnsi="Arial" w:cs="Arial"/>
          <w:sz w:val="22"/>
          <w:szCs w:val="22"/>
        </w:rPr>
        <w:t xml:space="preserve">Le </w:t>
      </w:r>
      <w:r>
        <w:rPr>
          <w:rFonts w:ascii="Arial" w:hAnsi="Arial" w:cs="Arial"/>
          <w:sz w:val="22"/>
          <w:szCs w:val="22"/>
        </w:rPr>
        <w:t>due tipologie di strutture</w:t>
      </w:r>
      <w:r w:rsidRPr="00950D90">
        <w:rPr>
          <w:rFonts w:ascii="Arial" w:hAnsi="Arial" w:cs="Arial"/>
          <w:sz w:val="22"/>
          <w:szCs w:val="22"/>
        </w:rPr>
        <w:t xml:space="preserve"> sono in stretto contatto </w:t>
      </w:r>
      <w:r>
        <w:rPr>
          <w:rFonts w:ascii="Arial" w:hAnsi="Arial" w:cs="Arial"/>
          <w:sz w:val="22"/>
          <w:szCs w:val="22"/>
        </w:rPr>
        <w:t>fra loro</w:t>
      </w:r>
      <w:r w:rsidRPr="00950D90">
        <w:rPr>
          <w:rFonts w:ascii="Arial" w:hAnsi="Arial" w:cs="Arial"/>
          <w:sz w:val="22"/>
          <w:szCs w:val="22"/>
        </w:rPr>
        <w:t xml:space="preserve"> e </w:t>
      </w:r>
      <w:r>
        <w:rPr>
          <w:rFonts w:ascii="Arial" w:hAnsi="Arial" w:cs="Arial"/>
          <w:sz w:val="22"/>
          <w:szCs w:val="22"/>
        </w:rPr>
        <w:t xml:space="preserve">con </w:t>
      </w:r>
      <w:r w:rsidRPr="00950D90">
        <w:rPr>
          <w:rFonts w:ascii="Arial" w:hAnsi="Arial" w:cs="Arial"/>
          <w:sz w:val="22"/>
          <w:szCs w:val="22"/>
        </w:rPr>
        <w:t>gli altri servizi presenti sul territorio, al fine di garantire il necessario supporto psicologico, legale, sociale, educativo.</w:t>
      </w:r>
    </w:p>
    <w:p w14:paraId="1B39FEEC" w14:textId="77777777" w:rsidR="00D86E0E" w:rsidRDefault="00D86E0E" w:rsidP="003266FE">
      <w:pPr>
        <w:spacing w:after="40"/>
        <w:jc w:val="both"/>
        <w:outlineLvl w:val="0"/>
        <w:rPr>
          <w:rFonts w:ascii="Arial" w:hAnsi="Arial" w:cs="Arial"/>
          <w:sz w:val="22"/>
          <w:szCs w:val="22"/>
        </w:rPr>
      </w:pPr>
      <w:r>
        <w:rPr>
          <w:rFonts w:ascii="Arial" w:hAnsi="Arial" w:cs="Arial"/>
          <w:sz w:val="22"/>
          <w:szCs w:val="22"/>
        </w:rPr>
        <w:t xml:space="preserve">Nel 2021, la spesa dei Comuni destinata ai centri antiviolenza ammonta </w:t>
      </w:r>
      <w:r w:rsidRPr="007334E5">
        <w:rPr>
          <w:rFonts w:ascii="Arial" w:hAnsi="Arial" w:cs="Arial"/>
          <w:sz w:val="22"/>
          <w:szCs w:val="22"/>
        </w:rPr>
        <w:t xml:space="preserve">a </w:t>
      </w:r>
      <w:r>
        <w:rPr>
          <w:rFonts w:ascii="Arial" w:hAnsi="Arial" w:cs="Arial"/>
          <w:sz w:val="22"/>
          <w:szCs w:val="22"/>
        </w:rPr>
        <w:t>12</w:t>
      </w:r>
      <w:r w:rsidRPr="007334E5">
        <w:rPr>
          <w:rFonts w:ascii="Arial" w:hAnsi="Arial" w:cs="Arial"/>
          <w:sz w:val="22"/>
          <w:szCs w:val="22"/>
        </w:rPr>
        <w:t>,</w:t>
      </w:r>
      <w:r>
        <w:rPr>
          <w:rFonts w:ascii="Arial" w:hAnsi="Arial" w:cs="Arial"/>
          <w:sz w:val="22"/>
          <w:szCs w:val="22"/>
        </w:rPr>
        <w:t>9</w:t>
      </w:r>
      <w:r w:rsidRPr="007334E5">
        <w:rPr>
          <w:rFonts w:ascii="Arial" w:hAnsi="Arial" w:cs="Arial"/>
          <w:sz w:val="22"/>
          <w:szCs w:val="22"/>
        </w:rPr>
        <w:t xml:space="preserve"> milioni</w:t>
      </w:r>
      <w:r>
        <w:rPr>
          <w:rFonts w:ascii="Arial" w:hAnsi="Arial" w:cs="Arial"/>
          <w:sz w:val="22"/>
          <w:szCs w:val="22"/>
        </w:rPr>
        <w:t xml:space="preserve"> di euro e le persone che ne hanno beneficiato risultano 19.670, </w:t>
      </w:r>
      <w:r w:rsidRPr="007334E5">
        <w:rPr>
          <w:rFonts w:ascii="Arial" w:hAnsi="Arial" w:cs="Arial"/>
          <w:sz w:val="22"/>
          <w:szCs w:val="22"/>
        </w:rPr>
        <w:t xml:space="preserve">con una spesa media </w:t>
      </w:r>
      <w:r>
        <w:rPr>
          <w:rFonts w:ascii="Arial" w:hAnsi="Arial" w:cs="Arial"/>
          <w:sz w:val="22"/>
          <w:szCs w:val="22"/>
        </w:rPr>
        <w:t xml:space="preserve">per utente </w:t>
      </w:r>
      <w:r w:rsidRPr="007334E5">
        <w:rPr>
          <w:rFonts w:ascii="Arial" w:hAnsi="Arial" w:cs="Arial"/>
          <w:sz w:val="22"/>
          <w:szCs w:val="22"/>
        </w:rPr>
        <w:t xml:space="preserve">pari a </w:t>
      </w:r>
      <w:r>
        <w:rPr>
          <w:rFonts w:ascii="Arial" w:hAnsi="Arial" w:cs="Arial"/>
          <w:sz w:val="22"/>
          <w:szCs w:val="22"/>
        </w:rPr>
        <w:t>656 euro</w:t>
      </w:r>
      <w:r w:rsidRPr="007334E5">
        <w:rPr>
          <w:rFonts w:ascii="Arial" w:hAnsi="Arial" w:cs="Arial"/>
          <w:sz w:val="22"/>
          <w:szCs w:val="22"/>
        </w:rPr>
        <w:t>.</w:t>
      </w:r>
      <w:r>
        <w:rPr>
          <w:rFonts w:ascii="Arial" w:hAnsi="Arial" w:cs="Arial"/>
          <w:sz w:val="22"/>
          <w:szCs w:val="22"/>
        </w:rPr>
        <w:t xml:space="preserve"> Negli ultimi anni si registra un aumento per questo tipo di assistenza, sia per la spesa sostenuta dai Comuni (+55,7% rispetto al 2019), sia per il numero di utenti (+26,5%). </w:t>
      </w:r>
    </w:p>
    <w:p w14:paraId="1AF56B38" w14:textId="77777777" w:rsidR="00D86E0E" w:rsidRDefault="00D86E0E" w:rsidP="003266FE">
      <w:pPr>
        <w:spacing w:after="40"/>
        <w:jc w:val="both"/>
        <w:outlineLvl w:val="0"/>
        <w:rPr>
          <w:rFonts w:ascii="Arial" w:hAnsi="Arial" w:cs="Arial"/>
          <w:sz w:val="22"/>
          <w:szCs w:val="22"/>
        </w:rPr>
      </w:pPr>
      <w:r>
        <w:rPr>
          <w:rFonts w:ascii="Arial" w:hAnsi="Arial" w:cs="Arial"/>
          <w:sz w:val="22"/>
          <w:szCs w:val="22"/>
        </w:rPr>
        <w:t>Il 35,8% dei Comuni ha garantito nel 2021 un’offerta presso i centri antiviolenza comunali o hanno finanziato strutture del privato non profit.</w:t>
      </w:r>
    </w:p>
    <w:p w14:paraId="541F01C2" w14:textId="509A86DE" w:rsidR="00D86E0E" w:rsidRDefault="00D86E0E" w:rsidP="003266FE">
      <w:pPr>
        <w:spacing w:after="40"/>
        <w:jc w:val="both"/>
        <w:outlineLvl w:val="0"/>
        <w:rPr>
          <w:rFonts w:ascii="Arial" w:hAnsi="Arial" w:cs="Arial"/>
          <w:sz w:val="22"/>
          <w:szCs w:val="22"/>
        </w:rPr>
      </w:pPr>
      <w:r>
        <w:rPr>
          <w:rFonts w:ascii="Arial" w:hAnsi="Arial" w:cs="Arial"/>
          <w:sz w:val="22"/>
          <w:szCs w:val="22"/>
        </w:rPr>
        <w:t xml:space="preserve">Per le case rifugio la diffusione dell’offerta sul territorio è più bassa: il 15,1% </w:t>
      </w:r>
      <w:r w:rsidR="002E4472">
        <w:rPr>
          <w:rFonts w:ascii="Arial" w:hAnsi="Arial" w:cs="Arial"/>
          <w:sz w:val="22"/>
          <w:szCs w:val="22"/>
        </w:rPr>
        <w:t>de</w:t>
      </w:r>
      <w:r>
        <w:rPr>
          <w:rFonts w:ascii="Arial" w:hAnsi="Arial" w:cs="Arial"/>
          <w:sz w:val="22"/>
          <w:szCs w:val="22"/>
        </w:rPr>
        <w:t>i Comuni ha gestito</w:t>
      </w:r>
      <w:r w:rsidRPr="002606E1">
        <w:rPr>
          <w:rFonts w:ascii="Arial" w:hAnsi="Arial" w:cs="Arial"/>
          <w:sz w:val="22"/>
          <w:szCs w:val="22"/>
        </w:rPr>
        <w:t xml:space="preserve"> o supporta</w:t>
      </w:r>
      <w:r>
        <w:rPr>
          <w:rFonts w:ascii="Arial" w:hAnsi="Arial" w:cs="Arial"/>
          <w:sz w:val="22"/>
          <w:szCs w:val="22"/>
        </w:rPr>
        <w:t>t</w:t>
      </w:r>
      <w:r w:rsidRPr="002606E1">
        <w:rPr>
          <w:rFonts w:ascii="Arial" w:hAnsi="Arial" w:cs="Arial"/>
          <w:sz w:val="22"/>
          <w:szCs w:val="22"/>
        </w:rPr>
        <w:t xml:space="preserve">o finanziariamente </w:t>
      </w:r>
      <w:r>
        <w:rPr>
          <w:rFonts w:ascii="Arial" w:hAnsi="Arial" w:cs="Arial"/>
          <w:sz w:val="22"/>
          <w:szCs w:val="22"/>
        </w:rPr>
        <w:t>tali strutture</w:t>
      </w:r>
      <w:r w:rsidRPr="002606E1">
        <w:rPr>
          <w:rFonts w:ascii="Arial" w:hAnsi="Arial" w:cs="Arial"/>
          <w:sz w:val="22"/>
          <w:szCs w:val="22"/>
        </w:rPr>
        <w:t>.</w:t>
      </w:r>
      <w:r>
        <w:rPr>
          <w:rFonts w:ascii="Arial" w:hAnsi="Arial" w:cs="Arial"/>
          <w:sz w:val="22"/>
          <w:szCs w:val="22"/>
        </w:rPr>
        <w:t xml:space="preserve"> La spesa sostenuta nell’anno è di 10,9 milioni di euro, in aumento del +53,6% rispetto al 2019, mentre le donne ospitate complessivamente (1.761) risultano in lieve diminuzione (-7%).</w:t>
      </w:r>
    </w:p>
    <w:p w14:paraId="21A293F6" w14:textId="77777777" w:rsidR="00AF7CE9" w:rsidRDefault="00AF7CE9" w:rsidP="003266FE">
      <w:pPr>
        <w:spacing w:after="40"/>
        <w:jc w:val="both"/>
        <w:outlineLvl w:val="0"/>
        <w:rPr>
          <w:rFonts w:ascii="Arial" w:hAnsi="Arial" w:cs="Arial"/>
          <w:sz w:val="22"/>
          <w:szCs w:val="22"/>
        </w:rPr>
      </w:pPr>
    </w:p>
    <w:p w14:paraId="44935514" w14:textId="77777777" w:rsidR="00D86E0E" w:rsidRDefault="00D86E0E" w:rsidP="003266FE">
      <w:pPr>
        <w:spacing w:after="40"/>
        <w:rPr>
          <w:rFonts w:ascii="Arial" w:hAnsi="Arial" w:cs="Arial"/>
          <w:b/>
          <w:color w:val="1F497D" w:themeColor="text2"/>
          <w:sz w:val="26"/>
          <w:szCs w:val="26"/>
        </w:rPr>
      </w:pPr>
      <w:r>
        <w:rPr>
          <w:rFonts w:ascii="Arial" w:hAnsi="Arial" w:cs="Arial"/>
          <w:b/>
          <w:color w:val="1F497D" w:themeColor="text2"/>
          <w:sz w:val="26"/>
          <w:szCs w:val="26"/>
        </w:rPr>
        <w:t>Crescita più contenuta</w:t>
      </w:r>
      <w:r w:rsidRPr="006A15EE">
        <w:rPr>
          <w:rFonts w:ascii="Arial" w:hAnsi="Arial" w:cs="Arial"/>
          <w:b/>
          <w:color w:val="1F497D" w:themeColor="text2"/>
          <w:sz w:val="26"/>
          <w:szCs w:val="26"/>
        </w:rPr>
        <w:t xml:space="preserve"> </w:t>
      </w:r>
      <w:r>
        <w:rPr>
          <w:rFonts w:ascii="Arial" w:hAnsi="Arial" w:cs="Arial"/>
          <w:b/>
          <w:color w:val="1F497D" w:themeColor="text2"/>
          <w:sz w:val="26"/>
          <w:szCs w:val="26"/>
        </w:rPr>
        <w:t>per la spesa sociale rivolta agli</w:t>
      </w:r>
      <w:r w:rsidRPr="006A15EE">
        <w:rPr>
          <w:rFonts w:ascii="Arial" w:hAnsi="Arial" w:cs="Arial"/>
          <w:b/>
          <w:color w:val="1F497D" w:themeColor="text2"/>
          <w:sz w:val="26"/>
          <w:szCs w:val="26"/>
        </w:rPr>
        <w:t xml:space="preserve"> immigrati</w:t>
      </w:r>
    </w:p>
    <w:p w14:paraId="6333C5CB" w14:textId="44E1B783" w:rsidR="00D86E0E" w:rsidRDefault="00D86E0E" w:rsidP="003266FE">
      <w:pPr>
        <w:spacing w:after="40"/>
        <w:jc w:val="both"/>
        <w:outlineLvl w:val="0"/>
        <w:rPr>
          <w:rFonts w:ascii="Arial" w:hAnsi="Arial" w:cs="Arial"/>
          <w:sz w:val="22"/>
          <w:szCs w:val="22"/>
        </w:rPr>
      </w:pPr>
      <w:r w:rsidRPr="00DC0004">
        <w:rPr>
          <w:rFonts w:ascii="Arial" w:hAnsi="Arial" w:cs="Arial"/>
          <w:sz w:val="22"/>
          <w:szCs w:val="22"/>
        </w:rPr>
        <w:t>La spesa dedicata al su</w:t>
      </w:r>
      <w:r>
        <w:rPr>
          <w:rFonts w:ascii="Arial" w:hAnsi="Arial" w:cs="Arial"/>
          <w:sz w:val="22"/>
          <w:szCs w:val="22"/>
        </w:rPr>
        <w:t xml:space="preserve">pporto e all’inclusione </w:t>
      </w:r>
      <w:r w:rsidRPr="00DC0004">
        <w:rPr>
          <w:rFonts w:ascii="Arial" w:hAnsi="Arial" w:cs="Arial"/>
          <w:sz w:val="22"/>
          <w:szCs w:val="22"/>
        </w:rPr>
        <w:t>della popol</w:t>
      </w:r>
      <w:r>
        <w:rPr>
          <w:rFonts w:ascii="Arial" w:hAnsi="Arial" w:cs="Arial"/>
          <w:sz w:val="22"/>
          <w:szCs w:val="22"/>
        </w:rPr>
        <w:t xml:space="preserve">azione immigrata nel 2021 ammonta a </w:t>
      </w:r>
      <w:r w:rsidR="00AF7CE9">
        <w:rPr>
          <w:rFonts w:ascii="Arial" w:hAnsi="Arial" w:cs="Arial"/>
          <w:sz w:val="22"/>
          <w:szCs w:val="22"/>
        </w:rPr>
        <w:br/>
      </w:r>
      <w:r w:rsidRPr="00DC0004">
        <w:rPr>
          <w:rFonts w:ascii="Arial" w:hAnsi="Arial" w:cs="Arial"/>
          <w:sz w:val="22"/>
          <w:szCs w:val="22"/>
        </w:rPr>
        <w:t>35</w:t>
      </w:r>
      <w:r>
        <w:rPr>
          <w:rFonts w:ascii="Arial" w:hAnsi="Arial" w:cs="Arial"/>
          <w:sz w:val="22"/>
          <w:szCs w:val="22"/>
        </w:rPr>
        <w:t>0</w:t>
      </w:r>
      <w:r w:rsidRPr="00DC0004">
        <w:rPr>
          <w:rFonts w:ascii="Arial" w:hAnsi="Arial" w:cs="Arial"/>
          <w:sz w:val="22"/>
          <w:szCs w:val="22"/>
        </w:rPr>
        <w:t xml:space="preserve"> mi</w:t>
      </w:r>
      <w:r>
        <w:rPr>
          <w:rFonts w:ascii="Arial" w:hAnsi="Arial" w:cs="Arial"/>
          <w:sz w:val="22"/>
          <w:szCs w:val="22"/>
        </w:rPr>
        <w:t xml:space="preserve">lioni di euro, in crescita </w:t>
      </w:r>
      <w:r w:rsidRPr="00DC0004">
        <w:rPr>
          <w:rFonts w:ascii="Arial" w:hAnsi="Arial" w:cs="Arial"/>
          <w:sz w:val="22"/>
          <w:szCs w:val="22"/>
        </w:rPr>
        <w:t>rispetto al 20</w:t>
      </w:r>
      <w:r>
        <w:rPr>
          <w:rFonts w:ascii="Arial" w:hAnsi="Arial" w:cs="Arial"/>
          <w:sz w:val="22"/>
          <w:szCs w:val="22"/>
        </w:rPr>
        <w:t>20 (+3,8</w:t>
      </w:r>
      <w:r w:rsidRPr="008C52B3">
        <w:rPr>
          <w:rFonts w:ascii="Arial" w:hAnsi="Arial" w:cs="Arial"/>
          <w:sz w:val="22"/>
          <w:szCs w:val="22"/>
        </w:rPr>
        <w:t>%</w:t>
      </w:r>
      <w:r>
        <w:rPr>
          <w:rFonts w:ascii="Arial" w:hAnsi="Arial" w:cs="Arial"/>
          <w:sz w:val="22"/>
          <w:szCs w:val="22"/>
        </w:rPr>
        <w:t xml:space="preserve"> in valuta corrente, +1,9% in termini reali), </w:t>
      </w:r>
      <w:r w:rsidRPr="00DC0004">
        <w:rPr>
          <w:rFonts w:ascii="Arial" w:hAnsi="Arial" w:cs="Arial"/>
          <w:sz w:val="22"/>
          <w:szCs w:val="22"/>
        </w:rPr>
        <w:t xml:space="preserve">anche se </w:t>
      </w:r>
      <w:r>
        <w:rPr>
          <w:rFonts w:ascii="Arial" w:hAnsi="Arial" w:cs="Arial"/>
          <w:sz w:val="22"/>
          <w:szCs w:val="22"/>
        </w:rPr>
        <w:t xml:space="preserve">in misura minore rispetto ad </w:t>
      </w:r>
      <w:r w:rsidRPr="00DC0004">
        <w:rPr>
          <w:rFonts w:ascii="Arial" w:hAnsi="Arial" w:cs="Arial"/>
          <w:sz w:val="22"/>
          <w:szCs w:val="22"/>
        </w:rPr>
        <w:t xml:space="preserve">altre aree </w:t>
      </w:r>
      <w:r>
        <w:rPr>
          <w:rFonts w:ascii="Arial" w:hAnsi="Arial" w:cs="Arial"/>
          <w:sz w:val="22"/>
          <w:szCs w:val="22"/>
        </w:rPr>
        <w:t>di intervento.</w:t>
      </w:r>
      <w:r w:rsidRPr="00DC0004">
        <w:rPr>
          <w:rFonts w:ascii="Arial" w:hAnsi="Arial" w:cs="Arial"/>
          <w:sz w:val="22"/>
          <w:szCs w:val="22"/>
        </w:rPr>
        <w:t xml:space="preserve"> </w:t>
      </w:r>
    </w:p>
    <w:p w14:paraId="5437DB4E" w14:textId="6AB06503" w:rsidR="00D86E0E" w:rsidRDefault="00D86E0E" w:rsidP="003266FE">
      <w:pPr>
        <w:spacing w:after="40"/>
        <w:jc w:val="both"/>
        <w:outlineLvl w:val="0"/>
        <w:rPr>
          <w:rFonts w:ascii="Arial" w:hAnsi="Arial" w:cs="Arial"/>
          <w:sz w:val="22"/>
          <w:szCs w:val="22"/>
        </w:rPr>
      </w:pPr>
      <w:r w:rsidRPr="00DC0004">
        <w:rPr>
          <w:rFonts w:ascii="Arial" w:hAnsi="Arial" w:cs="Arial"/>
          <w:sz w:val="22"/>
          <w:szCs w:val="22"/>
        </w:rPr>
        <w:t xml:space="preserve">La spesa per gli immigrati </w:t>
      </w:r>
      <w:r>
        <w:rPr>
          <w:rFonts w:ascii="Arial" w:hAnsi="Arial" w:cs="Arial"/>
          <w:sz w:val="22"/>
          <w:szCs w:val="22"/>
        </w:rPr>
        <w:t>occupa una quota ancora marginale della spesa complessiva per i servizi sociali dei Comuni (</w:t>
      </w:r>
      <w:r w:rsidRPr="00DC0004">
        <w:rPr>
          <w:rFonts w:ascii="Arial" w:hAnsi="Arial" w:cs="Arial"/>
          <w:sz w:val="22"/>
          <w:szCs w:val="22"/>
        </w:rPr>
        <w:t>4,</w:t>
      </w:r>
      <w:r>
        <w:rPr>
          <w:rFonts w:ascii="Arial" w:hAnsi="Arial" w:cs="Arial"/>
          <w:sz w:val="22"/>
          <w:szCs w:val="22"/>
        </w:rPr>
        <w:t xml:space="preserve">2%), </w:t>
      </w:r>
      <w:r w:rsidR="002E4472">
        <w:rPr>
          <w:rFonts w:ascii="Arial" w:hAnsi="Arial" w:cs="Arial"/>
          <w:sz w:val="22"/>
          <w:szCs w:val="22"/>
        </w:rPr>
        <w:t>ma</w:t>
      </w:r>
      <w:r>
        <w:rPr>
          <w:rFonts w:ascii="Arial" w:hAnsi="Arial" w:cs="Arial"/>
          <w:sz w:val="22"/>
          <w:szCs w:val="22"/>
        </w:rPr>
        <w:t xml:space="preserve"> ha avuto un incremento</w:t>
      </w:r>
      <w:r w:rsidRPr="00DC0004">
        <w:rPr>
          <w:rFonts w:ascii="Arial" w:hAnsi="Arial" w:cs="Arial"/>
          <w:sz w:val="22"/>
          <w:szCs w:val="22"/>
        </w:rPr>
        <w:t xml:space="preserve"> </w:t>
      </w:r>
      <w:r>
        <w:rPr>
          <w:rFonts w:ascii="Arial" w:hAnsi="Arial" w:cs="Arial"/>
          <w:sz w:val="22"/>
          <w:szCs w:val="22"/>
        </w:rPr>
        <w:t xml:space="preserve">significativo dal 2014, mentre negli anni precedenti il peso di quest’area di utenza non ha mai superato il 3%. </w:t>
      </w:r>
    </w:p>
    <w:p w14:paraId="7DE52203" w14:textId="09EF2F82" w:rsidR="00D86E0E" w:rsidRDefault="00D86E0E" w:rsidP="003266FE">
      <w:pPr>
        <w:spacing w:after="40"/>
        <w:jc w:val="both"/>
        <w:outlineLvl w:val="0"/>
        <w:rPr>
          <w:rFonts w:ascii="Arial" w:hAnsi="Arial" w:cs="Arial"/>
          <w:sz w:val="22"/>
          <w:szCs w:val="22"/>
        </w:rPr>
      </w:pPr>
      <w:r>
        <w:rPr>
          <w:rFonts w:ascii="Arial" w:hAnsi="Arial" w:cs="Arial"/>
          <w:sz w:val="22"/>
          <w:szCs w:val="22"/>
        </w:rPr>
        <w:t>L’andamento della spesa sociale dei Comuni nell’area immigrati riflette le modifiche introdotte negli ultimi anni nel sistema di accoglienza degli stranieri e dei richiedenti asilo. Infatti, dal 2013 al 2017 la spesa è aumentata del 73,5%</w:t>
      </w:r>
      <w:r w:rsidRPr="002A7198">
        <w:rPr>
          <w:rFonts w:ascii="Arial" w:hAnsi="Arial" w:cs="Arial"/>
          <w:sz w:val="22"/>
          <w:szCs w:val="22"/>
        </w:rPr>
        <w:t xml:space="preserve"> </w:t>
      </w:r>
      <w:r>
        <w:rPr>
          <w:rFonts w:ascii="Arial" w:hAnsi="Arial" w:cs="Arial"/>
          <w:sz w:val="22"/>
          <w:szCs w:val="22"/>
        </w:rPr>
        <w:t>grazie alle risorse aggiuntive provenienti d</w:t>
      </w:r>
      <w:r w:rsidRPr="002A7198">
        <w:rPr>
          <w:rFonts w:ascii="Arial" w:hAnsi="Arial" w:cs="Arial"/>
          <w:sz w:val="22"/>
          <w:szCs w:val="22"/>
        </w:rPr>
        <w:t xml:space="preserve">al </w:t>
      </w:r>
      <w:r w:rsidRPr="00B95B10">
        <w:rPr>
          <w:rFonts w:ascii="Arial" w:hAnsi="Arial" w:cs="Arial"/>
          <w:sz w:val="22"/>
          <w:szCs w:val="22"/>
        </w:rPr>
        <w:t>“Sistema di protezione per richiedenti asilo e rifugiati” (Sprar)</w:t>
      </w:r>
      <w:r>
        <w:rPr>
          <w:rFonts w:ascii="Arial" w:hAnsi="Arial" w:cs="Arial"/>
          <w:sz w:val="22"/>
          <w:szCs w:val="22"/>
        </w:rPr>
        <w:t xml:space="preserve"> che dal 2014 </w:t>
      </w:r>
      <w:r w:rsidRPr="002A7198">
        <w:rPr>
          <w:rFonts w:ascii="Arial" w:hAnsi="Arial" w:cs="Arial"/>
          <w:sz w:val="22"/>
          <w:szCs w:val="22"/>
        </w:rPr>
        <w:t xml:space="preserve">ha permesso ai </w:t>
      </w:r>
      <w:r>
        <w:rPr>
          <w:rFonts w:ascii="Arial" w:hAnsi="Arial" w:cs="Arial"/>
          <w:sz w:val="22"/>
          <w:szCs w:val="22"/>
        </w:rPr>
        <w:t>Comuni</w:t>
      </w:r>
      <w:r w:rsidRPr="002A7198">
        <w:rPr>
          <w:rFonts w:ascii="Arial" w:hAnsi="Arial" w:cs="Arial"/>
          <w:sz w:val="22"/>
          <w:szCs w:val="22"/>
        </w:rPr>
        <w:t xml:space="preserve"> e </w:t>
      </w:r>
      <w:r>
        <w:rPr>
          <w:rFonts w:ascii="Arial" w:hAnsi="Arial" w:cs="Arial"/>
          <w:sz w:val="22"/>
          <w:szCs w:val="22"/>
        </w:rPr>
        <w:t>ad</w:t>
      </w:r>
      <w:r w:rsidRPr="002A7198">
        <w:rPr>
          <w:rFonts w:ascii="Arial" w:hAnsi="Arial" w:cs="Arial"/>
          <w:sz w:val="22"/>
          <w:szCs w:val="22"/>
        </w:rPr>
        <w:t xml:space="preserve"> altri </w:t>
      </w:r>
      <w:r>
        <w:rPr>
          <w:rFonts w:ascii="Arial" w:hAnsi="Arial" w:cs="Arial"/>
          <w:sz w:val="22"/>
          <w:szCs w:val="22"/>
        </w:rPr>
        <w:t>E</w:t>
      </w:r>
      <w:r w:rsidRPr="002A7198">
        <w:rPr>
          <w:rFonts w:ascii="Arial" w:hAnsi="Arial" w:cs="Arial"/>
          <w:sz w:val="22"/>
          <w:szCs w:val="22"/>
        </w:rPr>
        <w:t xml:space="preserve">nti locali di realizzare progetti di accoglienza integrata </w:t>
      </w:r>
      <w:r>
        <w:rPr>
          <w:rFonts w:ascii="Arial" w:hAnsi="Arial" w:cs="Arial"/>
          <w:sz w:val="22"/>
          <w:szCs w:val="22"/>
        </w:rPr>
        <w:t>a favore degli immigrati con un percorso migratorio particolarmente difficile, attraverso i</w:t>
      </w:r>
      <w:r w:rsidRPr="002A7198">
        <w:rPr>
          <w:rFonts w:ascii="Arial" w:hAnsi="Arial" w:cs="Arial"/>
          <w:sz w:val="22"/>
          <w:szCs w:val="22"/>
        </w:rPr>
        <w:t xml:space="preserve"> finanziamenti statali e dell’Unione europea</w:t>
      </w:r>
      <w:r>
        <w:rPr>
          <w:rFonts w:ascii="Arial" w:hAnsi="Arial" w:cs="Arial"/>
          <w:sz w:val="22"/>
          <w:szCs w:val="22"/>
        </w:rPr>
        <w:t xml:space="preserve">. L’incremento </w:t>
      </w:r>
      <w:r w:rsidRPr="00E70767">
        <w:rPr>
          <w:rFonts w:ascii="Arial" w:hAnsi="Arial" w:cs="Arial"/>
          <w:sz w:val="22"/>
          <w:szCs w:val="22"/>
        </w:rPr>
        <w:t xml:space="preserve">di spesa </w:t>
      </w:r>
      <w:r>
        <w:rPr>
          <w:rFonts w:ascii="Arial" w:hAnsi="Arial" w:cs="Arial"/>
          <w:sz w:val="22"/>
          <w:szCs w:val="22"/>
        </w:rPr>
        <w:t xml:space="preserve">si è verificato in </w:t>
      </w:r>
      <w:r w:rsidRPr="00E70767">
        <w:rPr>
          <w:rFonts w:ascii="Arial" w:hAnsi="Arial" w:cs="Arial"/>
          <w:sz w:val="22"/>
          <w:szCs w:val="22"/>
        </w:rPr>
        <w:t>quasi tutte le regioni italiane</w:t>
      </w:r>
      <w:r>
        <w:rPr>
          <w:rFonts w:ascii="Arial" w:hAnsi="Arial" w:cs="Arial"/>
          <w:sz w:val="22"/>
          <w:szCs w:val="22"/>
        </w:rPr>
        <w:t xml:space="preserve"> ed</w:t>
      </w:r>
      <w:r w:rsidRPr="00E70767">
        <w:rPr>
          <w:rFonts w:ascii="Arial" w:hAnsi="Arial" w:cs="Arial"/>
          <w:sz w:val="22"/>
          <w:szCs w:val="22"/>
        </w:rPr>
        <w:t xml:space="preserve"> è </w:t>
      </w:r>
      <w:r>
        <w:rPr>
          <w:rFonts w:ascii="Arial" w:hAnsi="Arial" w:cs="Arial"/>
          <w:sz w:val="22"/>
          <w:szCs w:val="22"/>
        </w:rPr>
        <w:t xml:space="preserve">stato </w:t>
      </w:r>
      <w:r w:rsidRPr="00E70767">
        <w:rPr>
          <w:rFonts w:ascii="Arial" w:hAnsi="Arial" w:cs="Arial"/>
          <w:sz w:val="22"/>
          <w:szCs w:val="22"/>
        </w:rPr>
        <w:t xml:space="preserve">particolarmente rilevante in Sicilia. </w:t>
      </w:r>
    </w:p>
    <w:p w14:paraId="6C4D7267" w14:textId="77777777" w:rsidR="00AF7CE9" w:rsidRPr="00165589" w:rsidRDefault="00AF7CE9" w:rsidP="003266FE">
      <w:pPr>
        <w:spacing w:after="40"/>
        <w:jc w:val="both"/>
        <w:outlineLvl w:val="0"/>
        <w:rPr>
          <w:rFonts w:ascii="Arial" w:hAnsi="Arial" w:cs="Arial"/>
          <w:sz w:val="44"/>
          <w:szCs w:val="22"/>
        </w:rPr>
      </w:pPr>
    </w:p>
    <w:p w14:paraId="5A56D5C2" w14:textId="45686216" w:rsidR="00D86E0E" w:rsidRPr="00E82142" w:rsidRDefault="00D86E0E" w:rsidP="00D86E0E">
      <w:pPr>
        <w:spacing w:after="120"/>
        <w:jc w:val="both"/>
        <w:outlineLvl w:val="0"/>
        <w:rPr>
          <w:rFonts w:ascii="Arial Narrow" w:hAnsi="Arial Narrow" w:cs="Arial"/>
          <w:iCs/>
          <w:noProof/>
          <w:color w:val="1F497D" w:themeColor="text2"/>
          <w:sz w:val="22"/>
          <w:szCs w:val="22"/>
        </w:rPr>
      </w:pPr>
      <w:r>
        <w:rPr>
          <w:rFonts w:ascii="Arial Black" w:hAnsi="Arial Black" w:cs="Arial"/>
          <w:iCs/>
          <w:noProof/>
          <w:color w:val="1F497D" w:themeColor="text2"/>
          <w:sz w:val="22"/>
          <w:szCs w:val="22"/>
        </w:rPr>
        <w:t>F</w:t>
      </w:r>
      <w:r w:rsidRPr="005D02DA">
        <w:rPr>
          <w:rFonts w:ascii="Arial Black" w:hAnsi="Arial Black" w:cs="Arial"/>
          <w:iCs/>
          <w:noProof/>
          <w:color w:val="1F497D" w:themeColor="text2"/>
          <w:sz w:val="22"/>
          <w:szCs w:val="22"/>
        </w:rPr>
        <w:t xml:space="preserve">IGURA </w:t>
      </w:r>
      <w:r>
        <w:rPr>
          <w:rFonts w:ascii="Arial Black" w:hAnsi="Arial Black" w:cs="Arial"/>
          <w:iCs/>
          <w:noProof/>
          <w:color w:val="1F497D" w:themeColor="text2"/>
          <w:sz w:val="22"/>
          <w:szCs w:val="22"/>
        </w:rPr>
        <w:t>6</w:t>
      </w:r>
      <w:r w:rsidRPr="005D02DA">
        <w:rPr>
          <w:rFonts w:ascii="Arial Black" w:hAnsi="Arial Black" w:cs="Arial"/>
          <w:iCs/>
          <w:noProof/>
          <w:color w:val="1F497D" w:themeColor="text2"/>
          <w:sz w:val="22"/>
          <w:szCs w:val="22"/>
        </w:rPr>
        <w:t>.</w:t>
      </w:r>
      <w:r w:rsidRPr="005D02DA">
        <w:rPr>
          <w:rFonts w:ascii="Arial Narrow" w:hAnsi="Arial Narrow" w:cs="Arial"/>
          <w:b/>
          <w:iCs/>
          <w:noProof/>
          <w:color w:val="1F497D" w:themeColor="text2"/>
          <w:sz w:val="22"/>
          <w:szCs w:val="22"/>
        </w:rPr>
        <w:t xml:space="preserve"> </w:t>
      </w:r>
      <w:r w:rsidRPr="00613177">
        <w:rPr>
          <w:rFonts w:ascii="Arial Narrow" w:hAnsi="Arial Narrow" w:cs="Arial"/>
          <w:b/>
          <w:iCs/>
          <w:caps/>
          <w:noProof/>
          <w:color w:val="1F497D" w:themeColor="text2"/>
          <w:sz w:val="22"/>
          <w:szCs w:val="22"/>
        </w:rPr>
        <w:t>Spesa</w:t>
      </w:r>
      <w:r>
        <w:rPr>
          <w:rFonts w:ascii="Arial Narrow" w:hAnsi="Arial Narrow" w:cs="Arial"/>
          <w:b/>
          <w:iCs/>
          <w:caps/>
          <w:noProof/>
          <w:color w:val="1F497D" w:themeColor="text2"/>
          <w:sz w:val="22"/>
          <w:szCs w:val="22"/>
        </w:rPr>
        <w:t xml:space="preserve"> dei comuni per interventi e servizi sociali nell’area “immigrati”</w:t>
      </w:r>
      <w:r w:rsidR="00AF546B">
        <w:rPr>
          <w:rFonts w:ascii="Arial Narrow" w:hAnsi="Arial Narrow" w:cs="Arial"/>
          <w:b/>
          <w:iCs/>
          <w:caps/>
          <w:noProof/>
          <w:color w:val="1F497D" w:themeColor="text2"/>
          <w:sz w:val="22"/>
          <w:szCs w:val="22"/>
        </w:rPr>
        <w:t xml:space="preserve">. </w:t>
      </w:r>
      <w:r w:rsidR="00F46C05">
        <w:rPr>
          <w:rFonts w:ascii="Arial Narrow" w:hAnsi="Arial Narrow" w:cs="Arial"/>
          <w:iCs/>
          <w:noProof/>
          <w:color w:val="1F497D" w:themeColor="text2"/>
          <w:sz w:val="22"/>
          <w:szCs w:val="22"/>
        </w:rPr>
        <w:t>A</w:t>
      </w:r>
      <w:r w:rsidR="00F46C05" w:rsidRPr="006A04F7">
        <w:rPr>
          <w:rFonts w:ascii="Arial Narrow" w:hAnsi="Arial Narrow" w:cs="Arial"/>
          <w:iCs/>
          <w:noProof/>
          <w:color w:val="1F497D" w:themeColor="text2"/>
          <w:sz w:val="22"/>
          <w:szCs w:val="22"/>
        </w:rPr>
        <w:t>nn</w:t>
      </w:r>
      <w:r w:rsidR="00F46C05">
        <w:rPr>
          <w:rFonts w:ascii="Arial Narrow" w:hAnsi="Arial Narrow" w:cs="Arial"/>
          <w:iCs/>
          <w:noProof/>
          <w:color w:val="1F497D" w:themeColor="text2"/>
          <w:sz w:val="22"/>
          <w:szCs w:val="22"/>
        </w:rPr>
        <w:t>i 2003-</w:t>
      </w:r>
      <w:r w:rsidR="00F46C05" w:rsidRPr="006A04F7">
        <w:rPr>
          <w:rFonts w:ascii="Arial Narrow" w:hAnsi="Arial Narrow" w:cs="Arial"/>
          <w:iCs/>
          <w:noProof/>
          <w:color w:val="1F497D" w:themeColor="text2"/>
          <w:sz w:val="22"/>
          <w:szCs w:val="22"/>
        </w:rPr>
        <w:t>20</w:t>
      </w:r>
      <w:r w:rsidR="00F46C05">
        <w:rPr>
          <w:rFonts w:ascii="Arial Narrow" w:hAnsi="Arial Narrow" w:cs="Arial"/>
          <w:iCs/>
          <w:noProof/>
          <w:color w:val="1F497D" w:themeColor="text2"/>
          <w:sz w:val="22"/>
          <w:szCs w:val="22"/>
        </w:rPr>
        <w:t>21, m</w:t>
      </w:r>
      <w:r>
        <w:rPr>
          <w:rFonts w:ascii="Arial Narrow" w:hAnsi="Arial Narrow" w:cs="Arial"/>
          <w:iCs/>
          <w:noProof/>
          <w:color w:val="1F497D" w:themeColor="text2"/>
          <w:sz w:val="22"/>
          <w:szCs w:val="22"/>
        </w:rPr>
        <w:t>iliardi di euro</w:t>
      </w:r>
    </w:p>
    <w:p w14:paraId="5053594E" w14:textId="2BC3E426" w:rsidR="003266FE" w:rsidRDefault="00D86E0E" w:rsidP="00D86E0E">
      <w:pPr>
        <w:spacing w:after="120"/>
        <w:jc w:val="both"/>
        <w:outlineLvl w:val="0"/>
        <w:rPr>
          <w:rFonts w:ascii="Arial" w:hAnsi="Arial" w:cs="Arial"/>
          <w:sz w:val="22"/>
          <w:szCs w:val="22"/>
        </w:rPr>
      </w:pPr>
      <w:r>
        <w:rPr>
          <w:noProof/>
        </w:rPr>
        <w:drawing>
          <wp:inline distT="0" distB="0" distL="0" distR="0" wp14:anchorId="47989FDE" wp14:editId="79DB9078">
            <wp:extent cx="6369050" cy="2425700"/>
            <wp:effectExtent l="0" t="0" r="0" b="0"/>
            <wp:docPr id="8" name="Gra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3266FE">
        <w:rPr>
          <w:rFonts w:ascii="Arial" w:hAnsi="Arial" w:cs="Arial"/>
          <w:sz w:val="22"/>
          <w:szCs w:val="22"/>
        </w:rPr>
        <w:br w:type="page"/>
      </w:r>
    </w:p>
    <w:p w14:paraId="15144F50" w14:textId="77777777" w:rsidR="00D86E0E" w:rsidRDefault="00D86E0E" w:rsidP="00C05F81">
      <w:pPr>
        <w:jc w:val="both"/>
        <w:outlineLvl w:val="0"/>
        <w:rPr>
          <w:rFonts w:ascii="Arial" w:hAnsi="Arial" w:cs="Arial"/>
          <w:sz w:val="22"/>
          <w:szCs w:val="22"/>
        </w:rPr>
      </w:pPr>
    </w:p>
    <w:p w14:paraId="2895D968" w14:textId="77777777" w:rsidR="00D86E0E" w:rsidRPr="00F278EF" w:rsidRDefault="00D86E0E" w:rsidP="003266FE">
      <w:pPr>
        <w:spacing w:after="80"/>
        <w:jc w:val="both"/>
        <w:outlineLvl w:val="0"/>
        <w:rPr>
          <w:rFonts w:ascii="Arial" w:hAnsi="Arial" w:cs="Arial"/>
          <w:sz w:val="22"/>
          <w:szCs w:val="22"/>
        </w:rPr>
      </w:pPr>
      <w:r>
        <w:rPr>
          <w:rFonts w:ascii="Arial" w:hAnsi="Arial" w:cs="Arial"/>
          <w:sz w:val="22"/>
          <w:szCs w:val="22"/>
        </w:rPr>
        <w:t>Nel 2018 il sistema Sprar è stato sostituito dal “</w:t>
      </w:r>
      <w:r w:rsidRPr="00B95B10">
        <w:rPr>
          <w:rFonts w:ascii="Arial" w:hAnsi="Arial" w:cs="Arial"/>
          <w:sz w:val="22"/>
          <w:szCs w:val="22"/>
        </w:rPr>
        <w:t>Sistema di protezione per titolari di protezione internazionale e per minori stranieri non accompagnati</w:t>
      </w:r>
      <w:r>
        <w:rPr>
          <w:rFonts w:ascii="Arial" w:hAnsi="Arial" w:cs="Arial"/>
          <w:sz w:val="22"/>
          <w:szCs w:val="22"/>
        </w:rPr>
        <w:t>”</w:t>
      </w:r>
      <w:r w:rsidRPr="00B95B10">
        <w:rPr>
          <w:rFonts w:ascii="Arial" w:hAnsi="Arial" w:cs="Arial"/>
          <w:sz w:val="22"/>
          <w:szCs w:val="22"/>
        </w:rPr>
        <w:t xml:space="preserve"> (SIPROIMI), che </w:t>
      </w:r>
      <w:r>
        <w:rPr>
          <w:rFonts w:ascii="Arial" w:hAnsi="Arial" w:cs="Arial"/>
          <w:sz w:val="22"/>
          <w:szCs w:val="22"/>
        </w:rPr>
        <w:t xml:space="preserve">ha modificato </w:t>
      </w:r>
      <w:r w:rsidRPr="00B95B10">
        <w:rPr>
          <w:rFonts w:ascii="Arial" w:hAnsi="Arial" w:cs="Arial"/>
          <w:sz w:val="22"/>
          <w:szCs w:val="22"/>
        </w:rPr>
        <w:t>la platea dei beneficiari</w:t>
      </w:r>
      <w:r>
        <w:rPr>
          <w:rFonts w:ascii="Arial" w:hAnsi="Arial" w:cs="Arial"/>
          <w:sz w:val="22"/>
          <w:szCs w:val="22"/>
        </w:rPr>
        <w:t xml:space="preserve"> escludendo </w:t>
      </w:r>
      <w:r w:rsidRPr="00B95B10">
        <w:rPr>
          <w:rFonts w:ascii="Arial" w:hAnsi="Arial" w:cs="Arial"/>
          <w:sz w:val="22"/>
          <w:szCs w:val="22"/>
        </w:rPr>
        <w:t xml:space="preserve">i richiedenti asilo. </w:t>
      </w:r>
      <w:r>
        <w:rPr>
          <w:rFonts w:ascii="Arial" w:hAnsi="Arial" w:cs="Arial"/>
          <w:sz w:val="22"/>
          <w:szCs w:val="22"/>
        </w:rPr>
        <w:t xml:space="preserve">L’andamento della spesa per l’assistenza agli immigrati ha interrotto l’andamento crescente e ha fatto registrare un calo del 6,4% nel 2019. Segue un nuovo graduale incremento nel 2020 (2,2%) e nel 2021 (3,8%), in concomitanza con le nuove modifiche del sistema di protezione, </w:t>
      </w:r>
      <w:r w:rsidRPr="005B767F">
        <w:rPr>
          <w:rFonts w:ascii="Arial" w:hAnsi="Arial" w:cs="Arial"/>
          <w:sz w:val="22"/>
          <w:szCs w:val="22"/>
        </w:rPr>
        <w:t xml:space="preserve">che nel 2020 </w:t>
      </w:r>
      <w:r>
        <w:rPr>
          <w:rFonts w:ascii="Arial" w:hAnsi="Arial" w:cs="Arial"/>
          <w:sz w:val="22"/>
          <w:szCs w:val="22"/>
        </w:rPr>
        <w:t>è stato</w:t>
      </w:r>
      <w:r w:rsidRPr="005B767F">
        <w:rPr>
          <w:rFonts w:ascii="Arial" w:hAnsi="Arial" w:cs="Arial"/>
          <w:sz w:val="22"/>
          <w:szCs w:val="22"/>
        </w:rPr>
        <w:t xml:space="preserve"> rinominato “Sistema di Accoglienza e Integrazione” (SAI) </w:t>
      </w:r>
      <w:r>
        <w:rPr>
          <w:rFonts w:ascii="Arial" w:hAnsi="Arial" w:cs="Arial"/>
          <w:sz w:val="22"/>
          <w:szCs w:val="22"/>
        </w:rPr>
        <w:t xml:space="preserve">e ha </w:t>
      </w:r>
      <w:r w:rsidRPr="00641574">
        <w:rPr>
          <w:rFonts w:ascii="Arial" w:hAnsi="Arial" w:cs="Arial"/>
          <w:sz w:val="22"/>
          <w:szCs w:val="22"/>
        </w:rPr>
        <w:t>reintrod</w:t>
      </w:r>
      <w:r>
        <w:rPr>
          <w:rFonts w:ascii="Arial" w:hAnsi="Arial" w:cs="Arial"/>
          <w:sz w:val="22"/>
          <w:szCs w:val="22"/>
        </w:rPr>
        <w:t>otto</w:t>
      </w:r>
      <w:r w:rsidRPr="00641574">
        <w:rPr>
          <w:rFonts w:ascii="Arial" w:hAnsi="Arial" w:cs="Arial"/>
          <w:sz w:val="22"/>
          <w:szCs w:val="22"/>
        </w:rPr>
        <w:t xml:space="preserve"> la possibilità per i richiedenti asilo di accedere ai percorsi della seconda accoglienza</w:t>
      </w:r>
      <w:r>
        <w:rPr>
          <w:rFonts w:ascii="Arial" w:hAnsi="Arial" w:cs="Arial"/>
          <w:sz w:val="22"/>
          <w:szCs w:val="22"/>
        </w:rPr>
        <w:t>.</w:t>
      </w:r>
    </w:p>
    <w:p w14:paraId="17C23CFB" w14:textId="62056698" w:rsidR="00D86E0E" w:rsidRDefault="00D86E0E" w:rsidP="003266FE">
      <w:pPr>
        <w:spacing w:after="80"/>
        <w:jc w:val="both"/>
        <w:outlineLvl w:val="0"/>
        <w:rPr>
          <w:rFonts w:ascii="Arial" w:hAnsi="Arial" w:cs="Arial"/>
          <w:sz w:val="22"/>
          <w:szCs w:val="22"/>
        </w:rPr>
      </w:pPr>
      <w:r>
        <w:rPr>
          <w:rFonts w:ascii="Arial" w:hAnsi="Arial" w:cs="Arial"/>
          <w:sz w:val="22"/>
          <w:szCs w:val="22"/>
        </w:rPr>
        <w:t xml:space="preserve">Nel 2021 gli stranieri presi in carico dagli assistenti sociali dei Comuni, nell’ambito del servizio sociale professionale, sono stati oltre </w:t>
      </w:r>
      <w:r w:rsidRPr="0049756F">
        <w:rPr>
          <w:rFonts w:ascii="Arial" w:hAnsi="Arial" w:cs="Arial"/>
          <w:sz w:val="22"/>
          <w:szCs w:val="22"/>
        </w:rPr>
        <w:t>134</w:t>
      </w:r>
      <w:r>
        <w:rPr>
          <w:rFonts w:ascii="Arial" w:hAnsi="Arial" w:cs="Arial"/>
          <w:sz w:val="22"/>
          <w:szCs w:val="22"/>
        </w:rPr>
        <w:t>.</w:t>
      </w:r>
      <w:r w:rsidRPr="0049756F">
        <w:rPr>
          <w:rFonts w:ascii="Arial" w:hAnsi="Arial" w:cs="Arial"/>
          <w:sz w:val="22"/>
          <w:szCs w:val="22"/>
        </w:rPr>
        <w:t>8</w:t>
      </w:r>
      <w:r>
        <w:rPr>
          <w:rFonts w:ascii="Arial" w:hAnsi="Arial" w:cs="Arial"/>
          <w:sz w:val="22"/>
          <w:szCs w:val="22"/>
        </w:rPr>
        <w:t xml:space="preserve">00. Quasi </w:t>
      </w:r>
      <w:r w:rsidRPr="00251743">
        <w:rPr>
          <w:rFonts w:ascii="Arial" w:hAnsi="Arial" w:cs="Arial"/>
          <w:sz w:val="22"/>
          <w:szCs w:val="22"/>
        </w:rPr>
        <w:t>84</w:t>
      </w:r>
      <w:r>
        <w:rPr>
          <w:rFonts w:ascii="Arial" w:hAnsi="Arial" w:cs="Arial"/>
          <w:sz w:val="22"/>
          <w:szCs w:val="22"/>
        </w:rPr>
        <w:t>.500 persone hanno usufruito del servizio di mediazione culturale e oltre 56</w:t>
      </w:r>
      <w:r w:rsidR="00AF7CE9">
        <w:rPr>
          <w:rFonts w:ascii="Arial" w:hAnsi="Arial" w:cs="Arial"/>
          <w:sz w:val="22"/>
          <w:szCs w:val="22"/>
        </w:rPr>
        <w:t>mila</w:t>
      </w:r>
      <w:r>
        <w:rPr>
          <w:rFonts w:ascii="Arial" w:hAnsi="Arial" w:cs="Arial"/>
          <w:sz w:val="22"/>
          <w:szCs w:val="22"/>
        </w:rPr>
        <w:t xml:space="preserve"> hanno beneficiato degli interventi per promuovere l’integrazione sociale della popolazione immigrata. La spesa per quest’ultima tipologia di intervento è stata </w:t>
      </w:r>
      <w:r w:rsidR="00AF7CE9">
        <w:rPr>
          <w:rFonts w:ascii="Arial" w:hAnsi="Arial" w:cs="Arial"/>
          <w:sz w:val="22"/>
          <w:szCs w:val="22"/>
        </w:rPr>
        <w:br/>
      </w:r>
      <w:r>
        <w:rPr>
          <w:rFonts w:ascii="Arial" w:hAnsi="Arial" w:cs="Arial"/>
          <w:sz w:val="22"/>
          <w:szCs w:val="22"/>
        </w:rPr>
        <w:t>di 39 milioni di euro, con una media per utente di 704 euro annui.</w:t>
      </w:r>
    </w:p>
    <w:p w14:paraId="11AA26A1" w14:textId="3C04DE4E" w:rsidR="00D86E0E" w:rsidRDefault="00D86E0E" w:rsidP="003266FE">
      <w:pPr>
        <w:spacing w:after="80"/>
        <w:jc w:val="both"/>
        <w:outlineLvl w:val="0"/>
        <w:rPr>
          <w:rFonts w:ascii="Arial" w:hAnsi="Arial" w:cs="Arial"/>
          <w:sz w:val="22"/>
          <w:szCs w:val="22"/>
        </w:rPr>
      </w:pPr>
      <w:r w:rsidRPr="00CB222F">
        <w:rPr>
          <w:rFonts w:ascii="Arial" w:hAnsi="Arial" w:cs="Arial"/>
          <w:sz w:val="22"/>
          <w:szCs w:val="22"/>
        </w:rPr>
        <w:t>I</w:t>
      </w:r>
      <w:r>
        <w:rPr>
          <w:rFonts w:ascii="Arial" w:hAnsi="Arial" w:cs="Arial"/>
          <w:sz w:val="22"/>
          <w:szCs w:val="22"/>
        </w:rPr>
        <w:t xml:space="preserve">l 54,1% della spesa </w:t>
      </w:r>
      <w:r w:rsidRPr="00CB222F">
        <w:rPr>
          <w:rFonts w:ascii="Arial" w:hAnsi="Arial" w:cs="Arial"/>
          <w:sz w:val="22"/>
          <w:szCs w:val="22"/>
        </w:rPr>
        <w:t>per quest’area di utenza è destinata alle strutture re</w:t>
      </w:r>
      <w:r>
        <w:rPr>
          <w:rFonts w:ascii="Arial" w:hAnsi="Arial" w:cs="Arial"/>
          <w:sz w:val="22"/>
          <w:szCs w:val="22"/>
        </w:rPr>
        <w:t xml:space="preserve">sidenziali, gestite dai </w:t>
      </w:r>
      <w:r w:rsidRPr="00CB222F">
        <w:rPr>
          <w:rFonts w:ascii="Arial" w:hAnsi="Arial" w:cs="Arial"/>
          <w:sz w:val="22"/>
          <w:szCs w:val="22"/>
        </w:rPr>
        <w:t>Comuni o affidate in gestione a soggetti esterni</w:t>
      </w:r>
      <w:r>
        <w:rPr>
          <w:rFonts w:ascii="Arial" w:hAnsi="Arial" w:cs="Arial"/>
          <w:sz w:val="22"/>
          <w:szCs w:val="22"/>
        </w:rPr>
        <w:t>, e ai trasferimenti erogati a integrazione delle rette per le</w:t>
      </w:r>
      <w:r w:rsidRPr="00CB222F">
        <w:rPr>
          <w:rFonts w:ascii="Arial" w:hAnsi="Arial" w:cs="Arial"/>
          <w:sz w:val="22"/>
          <w:szCs w:val="22"/>
        </w:rPr>
        <w:t xml:space="preserve"> </w:t>
      </w:r>
      <w:r>
        <w:rPr>
          <w:rFonts w:ascii="Arial" w:hAnsi="Arial" w:cs="Arial"/>
          <w:sz w:val="22"/>
          <w:szCs w:val="22"/>
        </w:rPr>
        <w:t xml:space="preserve">strutture private. Questa voce di spesa ammonta a 189 milioni di euro, di cui hanno beneficiato complessivamente poco più di </w:t>
      </w:r>
      <w:r w:rsidRPr="00DF09E9">
        <w:rPr>
          <w:rFonts w:ascii="Arial" w:hAnsi="Arial" w:cs="Arial"/>
          <w:sz w:val="22"/>
          <w:szCs w:val="22"/>
        </w:rPr>
        <w:t>2</w:t>
      </w:r>
      <w:r>
        <w:rPr>
          <w:rFonts w:ascii="Arial" w:hAnsi="Arial" w:cs="Arial"/>
          <w:sz w:val="22"/>
          <w:szCs w:val="22"/>
        </w:rPr>
        <w:t>2</w:t>
      </w:r>
      <w:r w:rsidRPr="00DF09E9">
        <w:rPr>
          <w:rFonts w:ascii="Arial" w:hAnsi="Arial" w:cs="Arial"/>
          <w:sz w:val="22"/>
          <w:szCs w:val="22"/>
        </w:rPr>
        <w:t>.</w:t>
      </w:r>
      <w:r>
        <w:rPr>
          <w:rFonts w:ascii="Arial" w:hAnsi="Arial" w:cs="Arial"/>
          <w:sz w:val="22"/>
          <w:szCs w:val="22"/>
        </w:rPr>
        <w:t xml:space="preserve">456 utenti. La parte prevalente di questa tipologia di spesa, </w:t>
      </w:r>
      <w:r w:rsidR="00AF7CE9">
        <w:rPr>
          <w:rFonts w:ascii="Arial" w:hAnsi="Arial" w:cs="Arial"/>
          <w:sz w:val="22"/>
          <w:szCs w:val="22"/>
        </w:rPr>
        <w:br/>
      </w:r>
      <w:r>
        <w:rPr>
          <w:rFonts w:ascii="Arial" w:hAnsi="Arial" w:cs="Arial"/>
          <w:sz w:val="22"/>
          <w:szCs w:val="22"/>
        </w:rPr>
        <w:t>153 milioni di euro, è quella sostenuta per le strutture comunali, dove risiedono quasi 18.500 utenti, per i quali i Comuni spend</w:t>
      </w:r>
      <w:r w:rsidR="007466CC">
        <w:rPr>
          <w:rFonts w:ascii="Arial" w:hAnsi="Arial" w:cs="Arial"/>
          <w:sz w:val="22"/>
          <w:szCs w:val="22"/>
        </w:rPr>
        <w:t>ono</w:t>
      </w:r>
      <w:r>
        <w:rPr>
          <w:rFonts w:ascii="Arial" w:hAnsi="Arial" w:cs="Arial"/>
          <w:sz w:val="22"/>
          <w:szCs w:val="22"/>
        </w:rPr>
        <w:t xml:space="preserve"> in media 8.292 euro annui.</w:t>
      </w:r>
    </w:p>
    <w:p w14:paraId="3868C340" w14:textId="77777777" w:rsidR="00F0508C" w:rsidRDefault="00F0508C" w:rsidP="003266FE">
      <w:pPr>
        <w:spacing w:after="80"/>
        <w:jc w:val="both"/>
        <w:outlineLvl w:val="0"/>
      </w:pPr>
    </w:p>
    <w:p w14:paraId="4EEE0AEC" w14:textId="7B7BAE3D" w:rsidR="00355D41" w:rsidRDefault="00AF7CE9" w:rsidP="003266FE">
      <w:pPr>
        <w:spacing w:after="80"/>
        <w:jc w:val="both"/>
        <w:outlineLvl w:val="0"/>
        <w:rPr>
          <w:rFonts w:ascii="Arial" w:hAnsi="Arial" w:cs="Arial"/>
          <w:b/>
          <w:color w:val="1F497D" w:themeColor="text2"/>
          <w:sz w:val="26"/>
          <w:szCs w:val="26"/>
        </w:rPr>
      </w:pPr>
      <w:r>
        <w:rPr>
          <w:rFonts w:ascii="Arial" w:hAnsi="Arial" w:cs="Arial"/>
          <w:b/>
          <w:color w:val="1F497D" w:themeColor="text2"/>
          <w:sz w:val="26"/>
          <w:szCs w:val="26"/>
        </w:rPr>
        <w:t>S</w:t>
      </w:r>
      <w:r w:rsidR="00355D41">
        <w:rPr>
          <w:rFonts w:ascii="Arial" w:hAnsi="Arial" w:cs="Arial"/>
          <w:b/>
          <w:color w:val="1F497D" w:themeColor="text2"/>
          <w:sz w:val="26"/>
          <w:szCs w:val="26"/>
        </w:rPr>
        <w:t xml:space="preserve">pesa per il </w:t>
      </w:r>
      <w:r w:rsidR="00355D41" w:rsidRPr="00C05F81">
        <w:rPr>
          <w:rFonts w:ascii="Arial" w:hAnsi="Arial" w:cs="Arial"/>
          <w:b/>
          <w:i/>
          <w:iCs/>
          <w:color w:val="1F497D" w:themeColor="text2"/>
          <w:sz w:val="26"/>
          <w:szCs w:val="26"/>
        </w:rPr>
        <w:t>welfare</w:t>
      </w:r>
      <w:r w:rsidR="00355D41">
        <w:rPr>
          <w:rFonts w:ascii="Arial" w:hAnsi="Arial" w:cs="Arial"/>
          <w:b/>
          <w:color w:val="1F497D" w:themeColor="text2"/>
          <w:sz w:val="26"/>
          <w:szCs w:val="26"/>
        </w:rPr>
        <w:t xml:space="preserve"> locale finanziata </w:t>
      </w:r>
      <w:r>
        <w:rPr>
          <w:rFonts w:ascii="Arial" w:hAnsi="Arial" w:cs="Arial"/>
          <w:b/>
          <w:color w:val="1F497D" w:themeColor="text2"/>
          <w:sz w:val="26"/>
          <w:szCs w:val="26"/>
        </w:rPr>
        <w:t xml:space="preserve">soprattutto </w:t>
      </w:r>
      <w:r w:rsidR="00355D41">
        <w:rPr>
          <w:rFonts w:ascii="Arial" w:hAnsi="Arial" w:cs="Arial"/>
          <w:b/>
          <w:color w:val="1F497D" w:themeColor="text2"/>
          <w:sz w:val="26"/>
          <w:szCs w:val="26"/>
        </w:rPr>
        <w:t xml:space="preserve">dalle </w:t>
      </w:r>
      <w:r w:rsidR="00355D41" w:rsidRPr="006A15EE">
        <w:rPr>
          <w:rFonts w:ascii="Arial" w:hAnsi="Arial" w:cs="Arial"/>
          <w:b/>
          <w:color w:val="1F497D" w:themeColor="text2"/>
          <w:sz w:val="26"/>
          <w:szCs w:val="26"/>
        </w:rPr>
        <w:t xml:space="preserve">risorse </w:t>
      </w:r>
      <w:r w:rsidR="00355D41">
        <w:rPr>
          <w:rFonts w:ascii="Arial" w:hAnsi="Arial" w:cs="Arial"/>
          <w:b/>
          <w:color w:val="1F497D" w:themeColor="text2"/>
          <w:sz w:val="26"/>
          <w:szCs w:val="26"/>
        </w:rPr>
        <w:t>proprie</w:t>
      </w:r>
    </w:p>
    <w:p w14:paraId="1D25EC02" w14:textId="069BAFAE" w:rsidR="00355D41" w:rsidRPr="008644E4" w:rsidRDefault="00355D41" w:rsidP="003266FE">
      <w:pPr>
        <w:autoSpaceDE w:val="0"/>
        <w:autoSpaceDN w:val="0"/>
        <w:adjustRightInd w:val="0"/>
        <w:spacing w:after="80"/>
        <w:jc w:val="both"/>
        <w:rPr>
          <w:rFonts w:ascii="Arial" w:hAnsi="Arial" w:cs="Arial"/>
          <w:sz w:val="22"/>
          <w:szCs w:val="22"/>
        </w:rPr>
      </w:pPr>
      <w:r w:rsidRPr="008644E4">
        <w:rPr>
          <w:rFonts w:ascii="Arial" w:hAnsi="Arial" w:cs="Arial"/>
          <w:sz w:val="22"/>
          <w:szCs w:val="22"/>
        </w:rPr>
        <w:t>Le risorse proprie dei Comuni finanziano la maggior parte della spesa impiegata a livello locale per i servizi sociali: al netto delle compartecipazioni degli utenti e del Servizio Sanitario Nazionale, il 51,5% delle risorse provengono dai Comuni, a cui si aggiunge il 5,9% di risorse propri</w:t>
      </w:r>
      <w:r w:rsidR="00113D32">
        <w:rPr>
          <w:rFonts w:ascii="Arial" w:hAnsi="Arial" w:cs="Arial"/>
          <w:sz w:val="22"/>
          <w:szCs w:val="22"/>
        </w:rPr>
        <w:t>e delle associazioni di Comuni.</w:t>
      </w:r>
    </w:p>
    <w:p w14:paraId="52DBCE42" w14:textId="718B6A4D" w:rsidR="00355D41" w:rsidRPr="008644E4" w:rsidRDefault="00355D41" w:rsidP="003266FE">
      <w:pPr>
        <w:autoSpaceDE w:val="0"/>
        <w:autoSpaceDN w:val="0"/>
        <w:adjustRightInd w:val="0"/>
        <w:spacing w:after="80"/>
        <w:jc w:val="both"/>
        <w:rPr>
          <w:rFonts w:ascii="Arial" w:hAnsi="Arial" w:cs="Arial"/>
          <w:sz w:val="22"/>
          <w:szCs w:val="22"/>
        </w:rPr>
      </w:pPr>
      <w:r w:rsidRPr="008644E4">
        <w:rPr>
          <w:rFonts w:ascii="Arial" w:hAnsi="Arial" w:cs="Arial"/>
          <w:sz w:val="22"/>
          <w:szCs w:val="22"/>
        </w:rPr>
        <w:t xml:space="preserve">Fra le altre fonti di finanziamento, la più rilevante è data dai fondi regionali vincolati per le politiche sociali (fondi provinciali nel caso di province autonome), che coprono il 18,3% </w:t>
      </w:r>
      <w:r w:rsidR="00113D32">
        <w:rPr>
          <w:rFonts w:ascii="Arial" w:hAnsi="Arial" w:cs="Arial"/>
          <w:sz w:val="22"/>
          <w:szCs w:val="22"/>
        </w:rPr>
        <w:t>della spesa.</w:t>
      </w:r>
    </w:p>
    <w:p w14:paraId="5584A965" w14:textId="0A87ECE5" w:rsidR="00355D41" w:rsidRPr="008644E4" w:rsidRDefault="00355D41" w:rsidP="003266FE">
      <w:pPr>
        <w:autoSpaceDE w:val="0"/>
        <w:autoSpaceDN w:val="0"/>
        <w:adjustRightInd w:val="0"/>
        <w:spacing w:after="80"/>
        <w:jc w:val="both"/>
        <w:rPr>
          <w:rFonts w:ascii="Arial" w:hAnsi="Arial" w:cs="Arial"/>
          <w:sz w:val="22"/>
          <w:szCs w:val="22"/>
        </w:rPr>
      </w:pPr>
      <w:r w:rsidRPr="008644E4">
        <w:rPr>
          <w:rFonts w:ascii="Arial" w:hAnsi="Arial" w:cs="Arial"/>
          <w:sz w:val="22"/>
          <w:szCs w:val="22"/>
        </w:rPr>
        <w:t>Sommando queste tre componenti, quindi, si evince che oltre tre quarti della spesa per gli interventi e i servizi sociali territoriali è finanziata con ris</w:t>
      </w:r>
      <w:r w:rsidR="00113D32">
        <w:rPr>
          <w:rFonts w:ascii="Arial" w:hAnsi="Arial" w:cs="Arial"/>
          <w:sz w:val="22"/>
          <w:szCs w:val="22"/>
        </w:rPr>
        <w:t>orse regionali o sub-regionali.</w:t>
      </w:r>
    </w:p>
    <w:p w14:paraId="5AAD97AF" w14:textId="47E9A73A" w:rsidR="00AD2502" w:rsidRPr="00F35317" w:rsidRDefault="008644E4" w:rsidP="003266FE">
      <w:pPr>
        <w:autoSpaceDE w:val="0"/>
        <w:autoSpaceDN w:val="0"/>
        <w:adjustRightInd w:val="0"/>
        <w:spacing w:after="80"/>
        <w:jc w:val="both"/>
        <w:rPr>
          <w:rFonts w:ascii="Arial" w:hAnsi="Arial" w:cs="Arial"/>
          <w:sz w:val="22"/>
          <w:szCs w:val="22"/>
        </w:rPr>
      </w:pPr>
      <w:r w:rsidRPr="00F35317">
        <w:rPr>
          <w:rFonts w:ascii="Arial" w:hAnsi="Arial" w:cs="Arial"/>
          <w:sz w:val="22"/>
          <w:szCs w:val="22"/>
        </w:rPr>
        <w:t>Nel tempo si è registrata la</w:t>
      </w:r>
      <w:r w:rsidR="00AD2502" w:rsidRPr="00F35317">
        <w:rPr>
          <w:rFonts w:ascii="Arial" w:hAnsi="Arial" w:cs="Arial"/>
          <w:sz w:val="22"/>
          <w:szCs w:val="22"/>
        </w:rPr>
        <w:t xml:space="preserve"> </w:t>
      </w:r>
      <w:r w:rsidRPr="00F35317">
        <w:rPr>
          <w:rFonts w:ascii="Arial" w:hAnsi="Arial" w:cs="Arial"/>
          <w:sz w:val="22"/>
          <w:szCs w:val="22"/>
        </w:rPr>
        <w:t xml:space="preserve">diminuzione del </w:t>
      </w:r>
      <w:r w:rsidR="00AD2502" w:rsidRPr="00F35317">
        <w:rPr>
          <w:rFonts w:ascii="Arial" w:hAnsi="Arial" w:cs="Arial"/>
          <w:sz w:val="22"/>
          <w:szCs w:val="22"/>
        </w:rPr>
        <w:t>fondo indistinto per le politiche sociali</w:t>
      </w:r>
      <w:r w:rsidRPr="00F35317">
        <w:rPr>
          <w:rFonts w:ascii="Arial" w:hAnsi="Arial" w:cs="Arial"/>
          <w:sz w:val="22"/>
          <w:szCs w:val="22"/>
        </w:rPr>
        <w:t>, che</w:t>
      </w:r>
      <w:r w:rsidR="00AD2502" w:rsidRPr="00F35317">
        <w:rPr>
          <w:rFonts w:ascii="Arial" w:hAnsi="Arial" w:cs="Arial"/>
          <w:sz w:val="22"/>
          <w:szCs w:val="22"/>
        </w:rPr>
        <w:t xml:space="preserve"> fornisce la copertura al 7,8% delle risorse impiegate (era il 14% nel 201</w:t>
      </w:r>
      <w:r w:rsidR="00D91AE4" w:rsidRPr="00F35317">
        <w:rPr>
          <w:rFonts w:ascii="Arial" w:hAnsi="Arial" w:cs="Arial"/>
          <w:sz w:val="22"/>
          <w:szCs w:val="22"/>
        </w:rPr>
        <w:t>0</w:t>
      </w:r>
      <w:r w:rsidR="00AD2502" w:rsidRPr="00F35317">
        <w:rPr>
          <w:rFonts w:ascii="Arial" w:hAnsi="Arial" w:cs="Arial"/>
          <w:sz w:val="22"/>
          <w:szCs w:val="22"/>
        </w:rPr>
        <w:t xml:space="preserve">). </w:t>
      </w:r>
      <w:r w:rsidR="00F35317" w:rsidRPr="00F35317">
        <w:rPr>
          <w:rFonts w:ascii="Arial" w:hAnsi="Arial" w:cs="Arial"/>
          <w:sz w:val="22"/>
          <w:szCs w:val="22"/>
        </w:rPr>
        <w:t>Cresce invece la quota finanziata dai fondi vincolati statali o dell’Unione europea (dal 2,5% del 2010 al 12% del 2021).</w:t>
      </w:r>
    </w:p>
    <w:p w14:paraId="50A0F65B" w14:textId="4F741D7D" w:rsidR="00AD2502" w:rsidRPr="00F35317" w:rsidRDefault="00AD2502" w:rsidP="003266FE">
      <w:pPr>
        <w:autoSpaceDE w:val="0"/>
        <w:autoSpaceDN w:val="0"/>
        <w:adjustRightInd w:val="0"/>
        <w:spacing w:after="80"/>
        <w:jc w:val="both"/>
        <w:rPr>
          <w:rFonts w:ascii="Arial" w:hAnsi="Arial" w:cs="Arial"/>
          <w:sz w:val="22"/>
          <w:szCs w:val="22"/>
        </w:rPr>
      </w:pPr>
      <w:r w:rsidRPr="00F35317">
        <w:rPr>
          <w:rFonts w:ascii="Arial" w:hAnsi="Arial" w:cs="Arial"/>
          <w:sz w:val="22"/>
          <w:szCs w:val="22"/>
        </w:rPr>
        <w:t xml:space="preserve">La spesa rimanente è finanziata da altri enti pubblici (3,7%) e in minima parte dal settore privato (0,8%). </w:t>
      </w:r>
    </w:p>
    <w:p w14:paraId="4A17DC79" w14:textId="29FFB9B9" w:rsidR="00AD2502" w:rsidRDefault="00AD2502" w:rsidP="003266FE">
      <w:pPr>
        <w:autoSpaceDE w:val="0"/>
        <w:autoSpaceDN w:val="0"/>
        <w:adjustRightInd w:val="0"/>
        <w:spacing w:after="80"/>
        <w:jc w:val="both"/>
        <w:rPr>
          <w:rFonts w:ascii="Arial" w:hAnsi="Arial" w:cs="Arial"/>
          <w:sz w:val="22"/>
          <w:szCs w:val="22"/>
        </w:rPr>
      </w:pPr>
      <w:r w:rsidRPr="00F35317">
        <w:rPr>
          <w:rFonts w:ascii="Arial" w:hAnsi="Arial" w:cs="Arial"/>
          <w:sz w:val="22"/>
          <w:szCs w:val="22"/>
        </w:rPr>
        <w:t xml:space="preserve">Al Centro-nord, dove la spesa sociale è più rilevante, è ancora più alta la quota finanziata con le risorse proprie dei Comuni e delle Associazioni di Comuni (il 62% al Centro e al Nord-ovest e il 66% al </w:t>
      </w:r>
      <w:r w:rsidR="00AF7CE9">
        <w:rPr>
          <w:rFonts w:ascii="Arial" w:hAnsi="Arial" w:cs="Arial"/>
          <w:sz w:val="22"/>
          <w:szCs w:val="22"/>
        </w:rPr>
        <w:br/>
      </w:r>
      <w:r w:rsidRPr="00F35317">
        <w:rPr>
          <w:rFonts w:ascii="Arial" w:hAnsi="Arial" w:cs="Arial"/>
          <w:sz w:val="22"/>
          <w:szCs w:val="22"/>
        </w:rPr>
        <w:t xml:space="preserve">Nord-est), mentre al Mezzogiorno le risorse proprie degli Ambiti e dei Comuni coprono quote </w:t>
      </w:r>
      <w:r w:rsidR="00F35317" w:rsidRPr="00F35317">
        <w:rPr>
          <w:rFonts w:ascii="Arial" w:hAnsi="Arial" w:cs="Arial"/>
          <w:sz w:val="22"/>
          <w:szCs w:val="22"/>
        </w:rPr>
        <w:t xml:space="preserve">molto </w:t>
      </w:r>
      <w:r w:rsidRPr="00F35317">
        <w:rPr>
          <w:rFonts w:ascii="Arial" w:hAnsi="Arial" w:cs="Arial"/>
          <w:sz w:val="22"/>
          <w:szCs w:val="22"/>
        </w:rPr>
        <w:t>minori (37% al Sud e 29% nelle Isole).</w:t>
      </w:r>
    </w:p>
    <w:p w14:paraId="5284CA11" w14:textId="77777777" w:rsidR="003266FE" w:rsidRPr="00C05F81" w:rsidRDefault="003266FE" w:rsidP="003266FE">
      <w:pPr>
        <w:autoSpaceDE w:val="0"/>
        <w:autoSpaceDN w:val="0"/>
        <w:adjustRightInd w:val="0"/>
        <w:spacing w:after="80"/>
        <w:jc w:val="both"/>
        <w:rPr>
          <w:rFonts w:ascii="Arial" w:hAnsi="Arial" w:cs="Arial"/>
          <w:sz w:val="12"/>
          <w:szCs w:val="22"/>
        </w:rPr>
      </w:pPr>
    </w:p>
    <w:p w14:paraId="7A8BE929" w14:textId="3373692C" w:rsidR="00AD2502" w:rsidRPr="00F35317" w:rsidRDefault="00F46C05" w:rsidP="00F35317">
      <w:pPr>
        <w:spacing w:after="120"/>
        <w:jc w:val="both"/>
        <w:outlineLvl w:val="0"/>
        <w:rPr>
          <w:rFonts w:ascii="Arial Narrow" w:hAnsi="Arial Narrow" w:cs="Arial"/>
          <w:iCs/>
          <w:noProof/>
          <w:color w:val="1F497D" w:themeColor="text2"/>
          <w:sz w:val="22"/>
          <w:szCs w:val="22"/>
        </w:rPr>
      </w:pPr>
      <w:r w:rsidRPr="00F35317">
        <w:rPr>
          <w:rFonts w:ascii="Arial Black" w:hAnsi="Arial Black" w:cs="Arial"/>
          <w:iCs/>
          <w:noProof/>
          <w:color w:val="1F497D" w:themeColor="text2"/>
          <w:sz w:val="22"/>
          <w:szCs w:val="22"/>
        </w:rPr>
        <w:t xml:space="preserve">FIGURA </w:t>
      </w:r>
      <w:r>
        <w:rPr>
          <w:rFonts w:ascii="Arial Black" w:hAnsi="Arial Black" w:cs="Arial"/>
          <w:iCs/>
          <w:noProof/>
          <w:color w:val="1F497D" w:themeColor="text2"/>
          <w:sz w:val="22"/>
          <w:szCs w:val="22"/>
        </w:rPr>
        <w:t>7</w:t>
      </w:r>
      <w:r w:rsidR="00AF7CE9">
        <w:rPr>
          <w:rFonts w:ascii="Arial Black" w:hAnsi="Arial Black" w:cs="Arial"/>
          <w:iCs/>
          <w:noProof/>
          <w:color w:val="1F497D" w:themeColor="text2"/>
          <w:sz w:val="22"/>
          <w:szCs w:val="22"/>
        </w:rPr>
        <w:t>.</w:t>
      </w:r>
      <w:r w:rsidR="00AD2502" w:rsidRPr="00F35317">
        <w:rPr>
          <w:rFonts w:ascii="Arial Narrow" w:hAnsi="Arial Narrow" w:cs="Arial"/>
          <w:b/>
          <w:iCs/>
          <w:caps/>
          <w:noProof/>
          <w:color w:val="1F497D" w:themeColor="text2"/>
          <w:sz w:val="22"/>
          <w:szCs w:val="22"/>
        </w:rPr>
        <w:t xml:space="preserve"> Spesa per interventi e servizi sociali dei Comuni singoli e associati per fonte di</w:t>
      </w:r>
      <w:r w:rsidR="00AD2502">
        <w:rPr>
          <w:b/>
          <w:iCs/>
          <w:noProof/>
        </w:rPr>
        <w:t xml:space="preserve"> </w:t>
      </w:r>
      <w:r w:rsidR="00AD2502" w:rsidRPr="00F35317">
        <w:rPr>
          <w:rFonts w:ascii="Arial Narrow" w:hAnsi="Arial Narrow" w:cs="Arial"/>
          <w:b/>
          <w:iCs/>
          <w:caps/>
          <w:noProof/>
          <w:color w:val="1F497D" w:themeColor="text2"/>
          <w:sz w:val="22"/>
          <w:szCs w:val="22"/>
        </w:rPr>
        <w:t>finanziamento e ripartizione.</w:t>
      </w:r>
      <w:r w:rsidR="00AD2502" w:rsidRPr="00646D53">
        <w:rPr>
          <w:b/>
          <w:iCs/>
          <w:noProof/>
        </w:rPr>
        <w:t xml:space="preserve"> </w:t>
      </w:r>
      <w:r w:rsidR="00AD2502" w:rsidRPr="00F35317">
        <w:rPr>
          <w:rFonts w:ascii="Arial Narrow" w:hAnsi="Arial Narrow" w:cs="Arial"/>
          <w:iCs/>
          <w:noProof/>
          <w:color w:val="1F497D" w:themeColor="text2"/>
          <w:sz w:val="22"/>
          <w:szCs w:val="22"/>
        </w:rPr>
        <w:t>Anno 2021</w:t>
      </w:r>
      <w:r w:rsidR="00AF7CE9">
        <w:rPr>
          <w:rFonts w:ascii="Arial Narrow" w:hAnsi="Arial Narrow" w:cs="Arial"/>
          <w:iCs/>
          <w:noProof/>
          <w:color w:val="1F497D" w:themeColor="text2"/>
          <w:sz w:val="22"/>
          <w:szCs w:val="22"/>
        </w:rPr>
        <w:t xml:space="preserve">, </w:t>
      </w:r>
      <w:r w:rsidR="00AD2502" w:rsidRPr="00F35317">
        <w:rPr>
          <w:rFonts w:ascii="Arial Narrow" w:hAnsi="Arial Narrow" w:cs="Arial"/>
          <w:iCs/>
          <w:noProof/>
          <w:color w:val="1F497D" w:themeColor="text2"/>
          <w:sz w:val="22"/>
          <w:szCs w:val="22"/>
        </w:rPr>
        <w:t>valori percentuali</w:t>
      </w:r>
    </w:p>
    <w:p w14:paraId="24F80B8C" w14:textId="064F912A" w:rsidR="00B06E0E" w:rsidRDefault="00B06E0E" w:rsidP="00AD2502">
      <w:pPr>
        <w:tabs>
          <w:tab w:val="left" w:pos="900"/>
        </w:tabs>
        <w:jc w:val="both"/>
        <w:rPr>
          <w:iCs/>
          <w:noProof/>
        </w:rPr>
      </w:pPr>
      <w:r>
        <w:rPr>
          <w:noProof/>
        </w:rPr>
        <w:drawing>
          <wp:inline distT="0" distB="0" distL="0" distR="0" wp14:anchorId="3580BEEB" wp14:editId="0E2CBDAF">
            <wp:extent cx="6464300" cy="2482850"/>
            <wp:effectExtent l="0" t="0" r="0" b="0"/>
            <wp:docPr id="34" name="Gra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68D1CB2" w14:textId="77777777" w:rsidR="00B06E0E" w:rsidRDefault="00B06E0E" w:rsidP="00AD2502">
      <w:pPr>
        <w:tabs>
          <w:tab w:val="left" w:pos="900"/>
        </w:tabs>
        <w:jc w:val="both"/>
        <w:rPr>
          <w:iCs/>
          <w:noProof/>
        </w:rPr>
        <w:sectPr w:rsidR="00B06E0E" w:rsidSect="00BF6008">
          <w:footerReference w:type="default" r:id="rId23"/>
          <w:pgSz w:w="11906" w:h="16838" w:code="9"/>
          <w:pgMar w:top="567" w:right="992" w:bottom="714" w:left="992" w:header="0" w:footer="0" w:gutter="0"/>
          <w:cols w:space="430"/>
          <w:docGrid w:linePitch="360"/>
        </w:sectPr>
      </w:pPr>
    </w:p>
    <w:p w14:paraId="6ADD77AD" w14:textId="5AD0C05E" w:rsidR="001A7F1A" w:rsidRPr="003B4168" w:rsidRDefault="001A7F1A" w:rsidP="00D95ECF">
      <w:pPr>
        <w:autoSpaceDE w:val="0"/>
        <w:autoSpaceDN w:val="0"/>
        <w:adjustRightInd w:val="0"/>
        <w:spacing w:after="120"/>
        <w:jc w:val="both"/>
        <w:outlineLvl w:val="0"/>
        <w:rPr>
          <w:rFonts w:ascii="Georgia" w:hAnsi="Georgia" w:cs="Arial"/>
          <w:color w:val="1F497D" w:themeColor="text2"/>
          <w:sz w:val="48"/>
          <w:szCs w:val="48"/>
        </w:rPr>
      </w:pPr>
      <w:r w:rsidRPr="003B4168">
        <w:rPr>
          <w:rFonts w:ascii="Georgia" w:hAnsi="Georgia" w:cs="Arial"/>
          <w:color w:val="1F497D" w:themeColor="text2"/>
          <w:sz w:val="48"/>
          <w:szCs w:val="48"/>
        </w:rPr>
        <w:lastRenderedPageBreak/>
        <w:t>Glossario</w:t>
      </w:r>
    </w:p>
    <w:p w14:paraId="0FCC1A58" w14:textId="737292D3" w:rsidR="00C44234" w:rsidRPr="00C44234" w:rsidRDefault="00E7620C" w:rsidP="00AC10DA">
      <w:pPr>
        <w:spacing w:after="120"/>
        <w:jc w:val="both"/>
        <w:outlineLvl w:val="2"/>
        <w:rPr>
          <w:rFonts w:ascii="Arial" w:hAnsi="Arial" w:cs="Arial"/>
          <w:bCs/>
          <w:noProof/>
          <w:sz w:val="20"/>
          <w:szCs w:val="20"/>
        </w:rPr>
      </w:pPr>
      <w:r>
        <w:rPr>
          <w:rFonts w:ascii="Arial" w:hAnsi="Arial" w:cs="Arial"/>
          <w:b/>
          <w:bCs/>
          <w:noProof/>
          <w:color w:val="1F497D"/>
          <w:sz w:val="20"/>
          <w:szCs w:val="20"/>
        </w:rPr>
        <w:t>A</w:t>
      </w:r>
      <w:r w:rsidR="008E1F6F">
        <w:rPr>
          <w:rFonts w:ascii="Arial" w:hAnsi="Arial" w:cs="Arial"/>
          <w:b/>
          <w:bCs/>
          <w:noProof/>
          <w:color w:val="1F497D"/>
          <w:sz w:val="20"/>
          <w:szCs w:val="20"/>
        </w:rPr>
        <w:t xml:space="preserve">mbito </w:t>
      </w:r>
      <w:r>
        <w:rPr>
          <w:rFonts w:ascii="Arial" w:hAnsi="Arial" w:cs="Arial"/>
          <w:b/>
          <w:bCs/>
          <w:noProof/>
          <w:color w:val="1F497D"/>
          <w:sz w:val="20"/>
          <w:szCs w:val="20"/>
        </w:rPr>
        <w:t>T</w:t>
      </w:r>
      <w:r w:rsidR="008E1F6F">
        <w:rPr>
          <w:rFonts w:ascii="Arial" w:hAnsi="Arial" w:cs="Arial"/>
          <w:b/>
          <w:bCs/>
          <w:noProof/>
          <w:color w:val="1F497D"/>
          <w:sz w:val="20"/>
          <w:szCs w:val="20"/>
        </w:rPr>
        <w:t>erritoriale</w:t>
      </w:r>
      <w:r>
        <w:rPr>
          <w:rFonts w:ascii="Arial" w:hAnsi="Arial" w:cs="Arial"/>
          <w:b/>
          <w:bCs/>
          <w:noProof/>
          <w:color w:val="1F497D"/>
          <w:sz w:val="20"/>
          <w:szCs w:val="20"/>
        </w:rPr>
        <w:t xml:space="preserve"> S</w:t>
      </w:r>
      <w:r w:rsidR="008E1F6F">
        <w:rPr>
          <w:rFonts w:ascii="Arial" w:hAnsi="Arial" w:cs="Arial"/>
          <w:b/>
          <w:bCs/>
          <w:noProof/>
          <w:color w:val="1F497D"/>
          <w:sz w:val="20"/>
          <w:szCs w:val="20"/>
        </w:rPr>
        <w:t>ociale</w:t>
      </w:r>
      <w:r>
        <w:rPr>
          <w:rFonts w:ascii="Arial" w:hAnsi="Arial" w:cs="Arial"/>
          <w:b/>
          <w:bCs/>
          <w:noProof/>
          <w:color w:val="1F497D"/>
          <w:sz w:val="20"/>
          <w:szCs w:val="20"/>
        </w:rPr>
        <w:t xml:space="preserve"> (ATS):</w:t>
      </w:r>
      <w:r w:rsidR="008E1F6F" w:rsidRPr="008E1F6F">
        <w:rPr>
          <w:rFonts w:ascii="Arial" w:hAnsi="Arial" w:cs="Arial"/>
          <w:color w:val="19191A"/>
          <w:sz w:val="27"/>
          <w:szCs w:val="27"/>
          <w:shd w:val="clear" w:color="auto" w:fill="FFFFFF"/>
        </w:rPr>
        <w:t xml:space="preserve"> </w:t>
      </w:r>
      <w:r w:rsidR="006A06BD" w:rsidRPr="00AC10DA">
        <w:rPr>
          <w:rFonts w:ascii="Arial" w:hAnsi="Arial" w:cs="Arial"/>
          <w:bCs/>
          <w:noProof/>
          <w:sz w:val="20"/>
          <w:szCs w:val="20"/>
        </w:rPr>
        <w:t xml:space="preserve">L'Ambito Territoriale Sociale è il livello locale delle politiche sociali, individuato dalle Regioni ai sensi della </w:t>
      </w:r>
      <w:r w:rsidR="00AC10DA" w:rsidRPr="00AC10DA">
        <w:rPr>
          <w:rFonts w:ascii="Arial" w:hAnsi="Arial" w:cs="Arial"/>
          <w:bCs/>
          <w:noProof/>
          <w:sz w:val="20"/>
          <w:szCs w:val="20"/>
        </w:rPr>
        <w:t>L</w:t>
      </w:r>
      <w:r w:rsidR="006A06BD" w:rsidRPr="00AC10DA">
        <w:rPr>
          <w:rFonts w:ascii="Arial" w:hAnsi="Arial" w:cs="Arial"/>
          <w:bCs/>
          <w:noProof/>
          <w:sz w:val="20"/>
          <w:szCs w:val="20"/>
        </w:rPr>
        <w:t>egge 328/2000</w:t>
      </w:r>
      <w:r w:rsidR="00AC10DA" w:rsidRPr="00AC10DA">
        <w:rPr>
          <w:rFonts w:ascii="Arial" w:hAnsi="Arial" w:cs="Arial"/>
          <w:bCs/>
          <w:noProof/>
          <w:sz w:val="20"/>
          <w:szCs w:val="20"/>
        </w:rPr>
        <w:t xml:space="preserve"> (L</w:t>
      </w:r>
      <w:r w:rsidR="006A06BD" w:rsidRPr="00AC10DA">
        <w:rPr>
          <w:rFonts w:ascii="Arial" w:hAnsi="Arial" w:cs="Arial"/>
          <w:bCs/>
          <w:noProof/>
          <w:sz w:val="20"/>
          <w:szCs w:val="20"/>
        </w:rPr>
        <w:t>egge quadro “per la realizzazione del Sistema Integrato di Interventi e Servizi Sociali”</w:t>
      </w:r>
      <w:r w:rsidR="00AC10DA" w:rsidRPr="00AC10DA">
        <w:rPr>
          <w:rFonts w:ascii="Arial" w:hAnsi="Arial" w:cs="Arial"/>
          <w:bCs/>
          <w:noProof/>
          <w:sz w:val="20"/>
          <w:szCs w:val="20"/>
        </w:rPr>
        <w:t>)</w:t>
      </w:r>
      <w:r w:rsidR="006A06BD" w:rsidRPr="00AC10DA">
        <w:rPr>
          <w:rFonts w:ascii="Arial" w:hAnsi="Arial" w:cs="Arial"/>
          <w:bCs/>
          <w:noProof/>
          <w:sz w:val="20"/>
          <w:szCs w:val="20"/>
        </w:rPr>
        <w:t xml:space="preserve">. Di dimensioni sovracomunali, </w:t>
      </w:r>
      <w:r w:rsidR="00AC10DA" w:rsidRPr="00AC10DA">
        <w:rPr>
          <w:rFonts w:ascii="Arial" w:hAnsi="Arial" w:cs="Arial"/>
          <w:bCs/>
          <w:noProof/>
          <w:sz w:val="20"/>
          <w:szCs w:val="20"/>
        </w:rPr>
        <w:t xml:space="preserve">l’Ambito </w:t>
      </w:r>
      <w:r w:rsidR="00AC10DA">
        <w:rPr>
          <w:rFonts w:ascii="Arial" w:hAnsi="Arial" w:cs="Arial"/>
          <w:bCs/>
          <w:noProof/>
          <w:sz w:val="20"/>
          <w:szCs w:val="20"/>
        </w:rPr>
        <w:t xml:space="preserve">Territoriale Sociale </w:t>
      </w:r>
      <w:r w:rsidR="00AC10DA" w:rsidRPr="00AC10DA">
        <w:rPr>
          <w:rFonts w:ascii="Arial" w:hAnsi="Arial" w:cs="Arial"/>
          <w:bCs/>
          <w:noProof/>
          <w:sz w:val="20"/>
          <w:szCs w:val="20"/>
        </w:rPr>
        <w:t>ha</w:t>
      </w:r>
      <w:r w:rsidR="00C44234" w:rsidRPr="00C44234">
        <w:rPr>
          <w:rFonts w:ascii="Arial" w:hAnsi="Arial" w:cs="Arial"/>
          <w:bCs/>
          <w:noProof/>
          <w:sz w:val="20"/>
          <w:szCs w:val="20"/>
        </w:rPr>
        <w:t xml:space="preserve"> funzioni di pianificazione, programmazione e gestione in forma associata dei servizi sociali dei Comuni </w:t>
      </w:r>
      <w:r w:rsidR="00C44234">
        <w:rPr>
          <w:rFonts w:ascii="Arial" w:hAnsi="Arial" w:cs="Arial"/>
          <w:bCs/>
          <w:noProof/>
          <w:sz w:val="20"/>
          <w:szCs w:val="20"/>
        </w:rPr>
        <w:t>che ne fanno parte</w:t>
      </w:r>
      <w:r w:rsidR="00C44234" w:rsidRPr="00C44234">
        <w:rPr>
          <w:rFonts w:ascii="Arial" w:hAnsi="Arial" w:cs="Arial"/>
          <w:bCs/>
          <w:noProof/>
          <w:sz w:val="20"/>
          <w:szCs w:val="20"/>
        </w:rPr>
        <w:t xml:space="preserve">. </w:t>
      </w:r>
    </w:p>
    <w:p w14:paraId="686E1A40" w14:textId="2397C0CC" w:rsidR="001F6E7C" w:rsidRPr="00AA47CE" w:rsidRDefault="001F6E7C" w:rsidP="00C05F81">
      <w:pPr>
        <w:spacing w:after="120"/>
        <w:jc w:val="both"/>
        <w:outlineLvl w:val="2"/>
        <w:rPr>
          <w:rFonts w:ascii="Arial" w:hAnsi="Arial" w:cs="Arial"/>
          <w:bCs/>
          <w:noProof/>
          <w:sz w:val="20"/>
          <w:szCs w:val="20"/>
        </w:rPr>
      </w:pPr>
      <w:r w:rsidRPr="00AA47CE">
        <w:rPr>
          <w:rFonts w:ascii="Arial" w:hAnsi="Arial" w:cs="Arial"/>
          <w:b/>
          <w:bCs/>
          <w:noProof/>
          <w:color w:val="1F497D"/>
          <w:sz w:val="20"/>
          <w:szCs w:val="20"/>
        </w:rPr>
        <w:t xml:space="preserve">Area anziani: </w:t>
      </w:r>
      <w:r>
        <w:rPr>
          <w:rFonts w:ascii="Arial" w:hAnsi="Arial" w:cs="Arial"/>
          <w:bCs/>
          <w:noProof/>
          <w:sz w:val="20"/>
          <w:szCs w:val="20"/>
        </w:rPr>
        <w:t>vi</w:t>
      </w:r>
      <w:r w:rsidRPr="00AA47CE">
        <w:rPr>
          <w:rFonts w:ascii="Arial" w:hAnsi="Arial" w:cs="Arial"/>
          <w:bCs/>
          <w:noProof/>
          <w:sz w:val="20"/>
          <w:szCs w:val="20"/>
        </w:rPr>
        <w:t xml:space="preserve"> rientrano gli interventi e i servizi mirati a migliorare la qualità della vita delle persone anziane, nonché a favorire la loro mobilità, l’integrazione sociale e lo svolgimento delle funzioni primarie. Rientrano in questa area </w:t>
      </w:r>
      <w:r>
        <w:rPr>
          <w:rFonts w:ascii="Arial" w:hAnsi="Arial" w:cs="Arial"/>
          <w:bCs/>
          <w:noProof/>
          <w:sz w:val="20"/>
          <w:szCs w:val="20"/>
        </w:rPr>
        <w:t xml:space="preserve">anche </w:t>
      </w:r>
      <w:r w:rsidRPr="00AA47CE">
        <w:rPr>
          <w:rFonts w:ascii="Arial" w:hAnsi="Arial" w:cs="Arial"/>
          <w:bCs/>
          <w:noProof/>
          <w:sz w:val="20"/>
          <w:szCs w:val="20"/>
        </w:rPr>
        <w:t>i servizi e gli interventi a favore di anziani malati del morbo di Alzheimer.</w:t>
      </w:r>
    </w:p>
    <w:p w14:paraId="62F1E5C9" w14:textId="77777777" w:rsidR="001F6E7C" w:rsidRPr="00AA47CE" w:rsidRDefault="001F6E7C" w:rsidP="001F6E7C">
      <w:pPr>
        <w:spacing w:after="120"/>
        <w:jc w:val="both"/>
        <w:outlineLvl w:val="2"/>
        <w:rPr>
          <w:rFonts w:ascii="Arial" w:hAnsi="Arial" w:cs="Arial"/>
          <w:bCs/>
          <w:noProof/>
          <w:sz w:val="20"/>
          <w:szCs w:val="20"/>
        </w:rPr>
      </w:pPr>
      <w:r w:rsidRPr="00AA47CE">
        <w:rPr>
          <w:rFonts w:ascii="Arial" w:hAnsi="Arial" w:cs="Arial"/>
          <w:b/>
          <w:bCs/>
          <w:noProof/>
          <w:color w:val="1F497D"/>
          <w:sz w:val="20"/>
          <w:szCs w:val="20"/>
        </w:rPr>
        <w:t xml:space="preserve">Area dipendenze: </w:t>
      </w:r>
      <w:r>
        <w:rPr>
          <w:rFonts w:ascii="Arial" w:hAnsi="Arial" w:cs="Arial"/>
          <w:bCs/>
          <w:noProof/>
          <w:sz w:val="20"/>
          <w:szCs w:val="20"/>
        </w:rPr>
        <w:t>vi</w:t>
      </w:r>
      <w:r w:rsidRPr="00AA47CE">
        <w:rPr>
          <w:rFonts w:ascii="Arial" w:hAnsi="Arial" w:cs="Arial"/>
          <w:bCs/>
          <w:noProof/>
          <w:sz w:val="20"/>
          <w:szCs w:val="20"/>
        </w:rPr>
        <w:t xml:space="preserve"> rientrano gli interventi e i servizi rivolti a persone dipendenti da alcool e droghe.</w:t>
      </w:r>
    </w:p>
    <w:p w14:paraId="7509365E" w14:textId="77777777" w:rsidR="001F6E7C" w:rsidRPr="00AA47CE" w:rsidRDefault="001F6E7C" w:rsidP="001F6E7C">
      <w:pPr>
        <w:spacing w:after="120"/>
        <w:jc w:val="both"/>
        <w:outlineLvl w:val="2"/>
        <w:rPr>
          <w:rFonts w:ascii="Arial" w:hAnsi="Arial" w:cs="Arial"/>
          <w:bCs/>
          <w:noProof/>
          <w:sz w:val="20"/>
          <w:szCs w:val="20"/>
        </w:rPr>
      </w:pPr>
      <w:r w:rsidRPr="00AA47CE">
        <w:rPr>
          <w:rFonts w:ascii="Arial" w:hAnsi="Arial" w:cs="Arial"/>
          <w:b/>
          <w:bCs/>
          <w:noProof/>
          <w:color w:val="1F497D"/>
          <w:sz w:val="20"/>
          <w:szCs w:val="20"/>
        </w:rPr>
        <w:t xml:space="preserve">Area disabili: </w:t>
      </w:r>
      <w:r>
        <w:rPr>
          <w:rFonts w:ascii="Arial" w:hAnsi="Arial" w:cs="Arial"/>
          <w:bCs/>
          <w:noProof/>
          <w:sz w:val="20"/>
          <w:szCs w:val="20"/>
        </w:rPr>
        <w:t>vi</w:t>
      </w:r>
      <w:r w:rsidRPr="00AA47CE">
        <w:rPr>
          <w:rFonts w:ascii="Arial" w:hAnsi="Arial" w:cs="Arial"/>
          <w:bCs/>
          <w:noProof/>
          <w:sz w:val="20"/>
          <w:szCs w:val="20"/>
        </w:rPr>
        <w:t xml:space="preserve"> rientrano gli interventi e i servizi a cui possono accedere utenti con problemi di disabilità fisica, psichica o sensoriale (comprese le persone affette da HIV o colpite da TBC). Le prestazioni rivolte agli anziani non autosufficienti rientrano invece nell’area “Anziani”.</w:t>
      </w:r>
    </w:p>
    <w:p w14:paraId="7D77B8FE" w14:textId="77777777" w:rsidR="001F6E7C" w:rsidRPr="00AA47CE" w:rsidRDefault="001F6E7C" w:rsidP="001F6E7C">
      <w:pPr>
        <w:spacing w:after="120"/>
        <w:jc w:val="both"/>
        <w:outlineLvl w:val="2"/>
        <w:rPr>
          <w:rFonts w:ascii="Arial" w:hAnsi="Arial" w:cs="Arial"/>
          <w:bCs/>
          <w:noProof/>
          <w:sz w:val="20"/>
          <w:szCs w:val="20"/>
        </w:rPr>
      </w:pPr>
      <w:r w:rsidRPr="00AA47CE">
        <w:rPr>
          <w:rFonts w:ascii="Arial" w:hAnsi="Arial" w:cs="Arial"/>
          <w:b/>
          <w:bCs/>
          <w:noProof/>
          <w:color w:val="1F497D"/>
          <w:sz w:val="20"/>
          <w:szCs w:val="20"/>
        </w:rPr>
        <w:t>Area famiglia e minori</w:t>
      </w:r>
      <w:r w:rsidRPr="00AA47CE">
        <w:rPr>
          <w:rFonts w:ascii="Arial" w:hAnsi="Arial" w:cs="Arial"/>
          <w:bCs/>
          <w:noProof/>
          <w:sz w:val="20"/>
          <w:szCs w:val="20"/>
        </w:rPr>
        <w:t xml:space="preserve">: </w:t>
      </w:r>
      <w:r>
        <w:rPr>
          <w:rFonts w:ascii="Arial" w:hAnsi="Arial" w:cs="Arial"/>
          <w:bCs/>
          <w:noProof/>
          <w:sz w:val="20"/>
          <w:szCs w:val="20"/>
        </w:rPr>
        <w:t>vi</w:t>
      </w:r>
      <w:r w:rsidRPr="00AA47CE">
        <w:rPr>
          <w:rFonts w:ascii="Arial" w:hAnsi="Arial" w:cs="Arial"/>
          <w:bCs/>
          <w:noProof/>
          <w:sz w:val="20"/>
          <w:szCs w:val="20"/>
        </w:rPr>
        <w:t xml:space="preserve"> rientrano gli interventi e i servizi di supporto alla crescita dei figli e alla tutela dei minori. I beneficiari degli interventi e dei servizi possono essere donne sole con figli, gestanti, giovani coppie, famiglie con figli, famiglie monoparentali. </w:t>
      </w:r>
    </w:p>
    <w:p w14:paraId="7500EA6C" w14:textId="77777777" w:rsidR="001F6E7C" w:rsidRPr="00A74FB0" w:rsidRDefault="001F6E7C" w:rsidP="001F6E7C">
      <w:pPr>
        <w:spacing w:after="120"/>
        <w:jc w:val="both"/>
        <w:outlineLvl w:val="2"/>
        <w:rPr>
          <w:rFonts w:ascii="Arial" w:hAnsi="Arial" w:cs="Arial"/>
          <w:bCs/>
          <w:noProof/>
          <w:sz w:val="20"/>
          <w:szCs w:val="20"/>
        </w:rPr>
      </w:pPr>
      <w:r w:rsidRPr="003C5741">
        <w:rPr>
          <w:rFonts w:ascii="Arial" w:hAnsi="Arial" w:cs="Arial"/>
          <w:b/>
          <w:bCs/>
          <w:noProof/>
          <w:color w:val="1F497D"/>
          <w:sz w:val="20"/>
          <w:szCs w:val="20"/>
        </w:rPr>
        <w:t>Area immigrati, Rom, Sinti e Caminanti</w:t>
      </w:r>
      <w:r w:rsidRPr="00AA47CE">
        <w:rPr>
          <w:rFonts w:ascii="Arial" w:hAnsi="Arial" w:cs="Arial"/>
          <w:b/>
          <w:bCs/>
          <w:noProof/>
          <w:color w:val="1F497D"/>
          <w:sz w:val="20"/>
          <w:szCs w:val="20"/>
        </w:rPr>
        <w:t xml:space="preserve">: </w:t>
      </w:r>
      <w:r>
        <w:rPr>
          <w:rFonts w:ascii="Arial" w:hAnsi="Arial" w:cs="Arial"/>
          <w:bCs/>
          <w:noProof/>
          <w:sz w:val="20"/>
          <w:szCs w:val="20"/>
        </w:rPr>
        <w:t>vi</w:t>
      </w:r>
      <w:r w:rsidRPr="00AA47CE">
        <w:rPr>
          <w:rFonts w:ascii="Arial" w:hAnsi="Arial" w:cs="Arial"/>
          <w:bCs/>
          <w:noProof/>
          <w:sz w:val="20"/>
          <w:szCs w:val="20"/>
        </w:rPr>
        <w:t xml:space="preserve"> rientrano gli interventi e i servizi finalizzati all’integrazione sociale, culturale ed economica degli stranieri immigrati in Italia. Per stranieri si intendono le persone che non hanno la cittadinanza italiana, comprese quelle in situazioni di particolare fragilità, quali profughi, rifugiati, richiedenti asilo, vittime di tratta.</w:t>
      </w:r>
      <w:r w:rsidRPr="00E32381">
        <w:rPr>
          <w:rFonts w:ascii="Arial" w:hAnsi="Arial" w:cs="Arial"/>
          <w:b/>
          <w:bCs/>
          <w:noProof/>
          <w:color w:val="1F497D"/>
          <w:sz w:val="20"/>
          <w:szCs w:val="20"/>
        </w:rPr>
        <w:t xml:space="preserve"> </w:t>
      </w:r>
    </w:p>
    <w:p w14:paraId="3F2E1EB4" w14:textId="77777777" w:rsidR="001F6E7C" w:rsidRPr="00AF0A5E" w:rsidRDefault="001F6E7C" w:rsidP="001F6E7C">
      <w:pPr>
        <w:spacing w:after="120"/>
        <w:jc w:val="both"/>
        <w:outlineLvl w:val="2"/>
        <w:rPr>
          <w:rFonts w:ascii="Arial" w:hAnsi="Arial" w:cs="Arial"/>
          <w:bCs/>
          <w:noProof/>
          <w:sz w:val="20"/>
          <w:szCs w:val="20"/>
        </w:rPr>
      </w:pPr>
      <w:r w:rsidRPr="00AA47CE">
        <w:rPr>
          <w:rFonts w:ascii="Arial" w:hAnsi="Arial" w:cs="Arial"/>
          <w:b/>
          <w:bCs/>
          <w:noProof/>
          <w:color w:val="1F497D"/>
          <w:sz w:val="20"/>
          <w:szCs w:val="20"/>
        </w:rPr>
        <w:t xml:space="preserve">Area multiutenza: </w:t>
      </w:r>
      <w:r>
        <w:rPr>
          <w:rFonts w:ascii="Arial" w:hAnsi="Arial" w:cs="Arial"/>
          <w:bCs/>
          <w:noProof/>
          <w:sz w:val="20"/>
          <w:szCs w:val="20"/>
        </w:rPr>
        <w:t>vi</w:t>
      </w:r>
      <w:r w:rsidRPr="00AA47CE">
        <w:rPr>
          <w:rFonts w:ascii="Arial" w:hAnsi="Arial" w:cs="Arial"/>
          <w:bCs/>
          <w:noProof/>
          <w:sz w:val="20"/>
          <w:szCs w:val="20"/>
        </w:rPr>
        <w:t xml:space="preserve"> rientrano i servizi sociali che si rivolgono a più tipologie di utenti, quali i servizi di mediazione sociale, segretariato sociale, i centri di ascolto tematici, gli sportelli sociali, la telefonia sociale, le azioni di prevenzione e sensibilizzazione, le azioni di sistema e le spese di organizzazione.</w:t>
      </w:r>
      <w:r w:rsidRPr="00AF0A5E">
        <w:rPr>
          <w:rFonts w:ascii="Arial" w:hAnsi="Arial" w:cs="Arial"/>
          <w:bCs/>
          <w:noProof/>
          <w:sz w:val="20"/>
          <w:szCs w:val="20"/>
        </w:rPr>
        <w:t xml:space="preserve"> </w:t>
      </w:r>
    </w:p>
    <w:p w14:paraId="675CC7C3" w14:textId="77777777" w:rsidR="001F6E7C" w:rsidRDefault="001F6E7C" w:rsidP="001F6E7C">
      <w:pPr>
        <w:spacing w:after="120"/>
        <w:jc w:val="both"/>
        <w:outlineLvl w:val="2"/>
        <w:rPr>
          <w:rFonts w:ascii="Arial" w:hAnsi="Arial" w:cs="Arial"/>
          <w:bCs/>
          <w:noProof/>
          <w:sz w:val="20"/>
          <w:szCs w:val="20"/>
        </w:rPr>
      </w:pPr>
      <w:r w:rsidRPr="00AA47CE">
        <w:rPr>
          <w:rFonts w:ascii="Arial" w:hAnsi="Arial" w:cs="Arial"/>
          <w:b/>
          <w:bCs/>
          <w:noProof/>
          <w:color w:val="1F497D"/>
          <w:sz w:val="20"/>
          <w:szCs w:val="20"/>
        </w:rPr>
        <w:t xml:space="preserve">Area povertà, disagio adulti e senza dimora: </w:t>
      </w:r>
      <w:r>
        <w:rPr>
          <w:rFonts w:ascii="Arial" w:hAnsi="Arial" w:cs="Arial"/>
          <w:bCs/>
          <w:noProof/>
          <w:sz w:val="20"/>
          <w:szCs w:val="20"/>
        </w:rPr>
        <w:t>vi</w:t>
      </w:r>
      <w:r w:rsidRPr="00AA47CE">
        <w:rPr>
          <w:rFonts w:ascii="Arial" w:hAnsi="Arial" w:cs="Arial"/>
          <w:bCs/>
          <w:noProof/>
          <w:sz w:val="20"/>
          <w:szCs w:val="20"/>
        </w:rPr>
        <w:t xml:space="preserve"> rientrano gli interventi e i servizi per ex detenuti, donne che subiscono maltrattamenti, persone senza dimora, indigenti, persone con problemi mentali (psichiatrici) e altre persone in difficoltà non comprese nelle altre aree.</w:t>
      </w:r>
    </w:p>
    <w:p w14:paraId="6D688504" w14:textId="77777777" w:rsidR="001F6E7C" w:rsidRPr="00AA47CE" w:rsidRDefault="001F6E7C" w:rsidP="001F6E7C">
      <w:pPr>
        <w:spacing w:after="120"/>
        <w:jc w:val="both"/>
        <w:outlineLvl w:val="2"/>
        <w:rPr>
          <w:rFonts w:ascii="Arial" w:hAnsi="Arial" w:cs="Arial"/>
          <w:bCs/>
          <w:noProof/>
          <w:sz w:val="20"/>
          <w:szCs w:val="20"/>
        </w:rPr>
      </w:pPr>
      <w:r w:rsidRPr="00AA47CE">
        <w:rPr>
          <w:rFonts w:ascii="Arial" w:hAnsi="Arial" w:cs="Arial"/>
          <w:b/>
          <w:bCs/>
          <w:noProof/>
          <w:color w:val="1F497D"/>
          <w:sz w:val="20"/>
          <w:szCs w:val="20"/>
        </w:rPr>
        <w:t xml:space="preserve">Ente associativo: </w:t>
      </w:r>
      <w:r w:rsidRPr="00AA47CE">
        <w:rPr>
          <w:rFonts w:ascii="Arial" w:hAnsi="Arial" w:cs="Arial"/>
          <w:bCs/>
          <w:noProof/>
          <w:sz w:val="20"/>
          <w:szCs w:val="20"/>
        </w:rPr>
        <w:t xml:space="preserve">comprende tutte le forme giuridiche attraverso le quali i </w:t>
      </w:r>
      <w:r>
        <w:rPr>
          <w:rFonts w:ascii="Arial" w:hAnsi="Arial" w:cs="Arial"/>
          <w:bCs/>
          <w:noProof/>
          <w:sz w:val="20"/>
          <w:szCs w:val="20"/>
        </w:rPr>
        <w:t>Comuni</w:t>
      </w:r>
      <w:r w:rsidRPr="00AA47CE">
        <w:rPr>
          <w:rFonts w:ascii="Arial" w:hAnsi="Arial" w:cs="Arial"/>
          <w:bCs/>
          <w:noProof/>
          <w:sz w:val="20"/>
          <w:szCs w:val="20"/>
        </w:rPr>
        <w:t xml:space="preserve"> possono esercitare le proprie funzioni in forma associata (Unioni di </w:t>
      </w:r>
      <w:r>
        <w:rPr>
          <w:rFonts w:ascii="Arial" w:hAnsi="Arial" w:cs="Arial"/>
          <w:bCs/>
          <w:noProof/>
          <w:sz w:val="20"/>
          <w:szCs w:val="20"/>
        </w:rPr>
        <w:t>Comuni</w:t>
      </w:r>
      <w:r w:rsidRPr="00AA47CE">
        <w:rPr>
          <w:rFonts w:ascii="Arial" w:hAnsi="Arial" w:cs="Arial"/>
          <w:bCs/>
          <w:noProof/>
          <w:sz w:val="20"/>
          <w:szCs w:val="20"/>
        </w:rPr>
        <w:t xml:space="preserve">, Consorzi, Comprensori, </w:t>
      </w:r>
      <w:r>
        <w:rPr>
          <w:rFonts w:ascii="Arial" w:hAnsi="Arial" w:cs="Arial"/>
          <w:bCs/>
          <w:noProof/>
          <w:sz w:val="20"/>
          <w:szCs w:val="20"/>
        </w:rPr>
        <w:t>Comuni</w:t>
      </w:r>
      <w:r w:rsidRPr="00AA47CE">
        <w:rPr>
          <w:rFonts w:ascii="Arial" w:hAnsi="Arial" w:cs="Arial"/>
          <w:bCs/>
          <w:noProof/>
          <w:sz w:val="20"/>
          <w:szCs w:val="20"/>
        </w:rPr>
        <w:t xml:space="preserve">tà montane, ecc.). </w:t>
      </w:r>
    </w:p>
    <w:p w14:paraId="5DC3C9FC" w14:textId="77777777" w:rsidR="001F6E7C" w:rsidRPr="00AA47CE" w:rsidRDefault="001F6E7C" w:rsidP="001F6E7C">
      <w:pPr>
        <w:spacing w:after="120"/>
        <w:jc w:val="both"/>
        <w:outlineLvl w:val="2"/>
        <w:rPr>
          <w:rFonts w:ascii="Arial" w:hAnsi="Arial" w:cs="Arial"/>
          <w:bCs/>
          <w:noProof/>
          <w:sz w:val="20"/>
          <w:szCs w:val="20"/>
        </w:rPr>
      </w:pPr>
      <w:r w:rsidRPr="00AA47CE">
        <w:rPr>
          <w:rFonts w:ascii="Arial" w:hAnsi="Arial" w:cs="Arial"/>
          <w:b/>
          <w:bCs/>
          <w:noProof/>
          <w:color w:val="1F497D"/>
          <w:sz w:val="20"/>
          <w:szCs w:val="20"/>
        </w:rPr>
        <w:t xml:space="preserve">Compartecipazione del S.S.N.: </w:t>
      </w:r>
      <w:r w:rsidRPr="0018432A">
        <w:rPr>
          <w:rFonts w:ascii="Arial" w:hAnsi="Arial" w:cs="Arial"/>
          <w:bCs/>
          <w:noProof/>
          <w:sz w:val="20"/>
          <w:szCs w:val="20"/>
        </w:rPr>
        <w:t>il</w:t>
      </w:r>
      <w:r w:rsidRPr="00AA47CE">
        <w:rPr>
          <w:rFonts w:ascii="Arial" w:hAnsi="Arial" w:cs="Arial"/>
          <w:bCs/>
          <w:noProof/>
          <w:sz w:val="20"/>
          <w:szCs w:val="20"/>
        </w:rPr>
        <w:t xml:space="preserve"> valore delle entrate provenienti dal Servizio Sanitario Nazionale per i servizi socio-sanitari erogati.</w:t>
      </w:r>
    </w:p>
    <w:p w14:paraId="3B28B92A" w14:textId="77777777" w:rsidR="001F6E7C" w:rsidRPr="00AA47CE" w:rsidRDefault="001F6E7C" w:rsidP="001F6E7C">
      <w:pPr>
        <w:spacing w:after="120"/>
        <w:jc w:val="both"/>
        <w:outlineLvl w:val="2"/>
        <w:rPr>
          <w:rFonts w:ascii="Arial" w:hAnsi="Arial" w:cs="Arial"/>
          <w:bCs/>
          <w:noProof/>
          <w:sz w:val="20"/>
          <w:szCs w:val="20"/>
        </w:rPr>
      </w:pPr>
      <w:r w:rsidRPr="00AA47CE">
        <w:rPr>
          <w:rFonts w:ascii="Arial" w:hAnsi="Arial" w:cs="Arial"/>
          <w:b/>
          <w:bCs/>
          <w:noProof/>
          <w:color w:val="1F497D"/>
          <w:sz w:val="20"/>
          <w:szCs w:val="20"/>
        </w:rPr>
        <w:t xml:space="preserve">Compartecipazione degli utenti: </w:t>
      </w:r>
      <w:r w:rsidRPr="00AA47CE">
        <w:rPr>
          <w:rFonts w:ascii="Arial" w:hAnsi="Arial" w:cs="Arial"/>
          <w:bCs/>
          <w:noProof/>
          <w:sz w:val="20"/>
          <w:szCs w:val="20"/>
        </w:rPr>
        <w:t>entrate in conto corrente di competenza, accertate dal Comune o dall’ente associativo che eroga il servizio per le rette pagate dagli utenti quale corrispettivo del servizio fruito nell’anno di riferimento.</w:t>
      </w:r>
    </w:p>
    <w:p w14:paraId="24545A53" w14:textId="77777777" w:rsidR="001F6E7C" w:rsidRPr="00CC377C" w:rsidRDefault="001F6E7C" w:rsidP="001F6E7C">
      <w:pPr>
        <w:spacing w:after="120"/>
        <w:jc w:val="both"/>
        <w:outlineLvl w:val="2"/>
        <w:rPr>
          <w:rFonts w:ascii="Arial" w:hAnsi="Arial" w:cs="Arial"/>
          <w:bCs/>
          <w:noProof/>
          <w:sz w:val="20"/>
          <w:szCs w:val="20"/>
        </w:rPr>
      </w:pPr>
      <w:r w:rsidRPr="00CC377C">
        <w:rPr>
          <w:rFonts w:ascii="Arial" w:hAnsi="Arial" w:cs="Arial"/>
          <w:b/>
          <w:bCs/>
          <w:noProof/>
          <w:color w:val="1F497D"/>
          <w:sz w:val="20"/>
          <w:szCs w:val="20"/>
        </w:rPr>
        <w:t>Servizi sociali:</w:t>
      </w:r>
      <w:r w:rsidRPr="00CC377C">
        <w:rPr>
          <w:rFonts w:ascii="Arial" w:hAnsi="Arial" w:cs="Arial"/>
          <w:bCs/>
          <w:noProof/>
          <w:sz w:val="20"/>
          <w:szCs w:val="20"/>
        </w:rPr>
        <w:t xml:space="preserve"> gli strumenti per garantire assistenza a persone in difficoltà in un sistema di Stato</w:t>
      </w:r>
      <w:r>
        <w:rPr>
          <w:rFonts w:ascii="Arial" w:hAnsi="Arial" w:cs="Arial"/>
          <w:bCs/>
          <w:noProof/>
          <w:sz w:val="20"/>
          <w:szCs w:val="20"/>
        </w:rPr>
        <w:t xml:space="preserve"> </w:t>
      </w:r>
      <w:r w:rsidRPr="00CC377C">
        <w:rPr>
          <w:rFonts w:ascii="Arial" w:hAnsi="Arial" w:cs="Arial"/>
          <w:bCs/>
          <w:noProof/>
          <w:sz w:val="20"/>
          <w:szCs w:val="20"/>
        </w:rPr>
        <w:t xml:space="preserve">sociale. Dal punto di vista costituzionale i servizi sociali sono espressione dello </w:t>
      </w:r>
      <w:r>
        <w:rPr>
          <w:rFonts w:ascii="Arial" w:hAnsi="Arial" w:cs="Arial"/>
          <w:bCs/>
          <w:noProof/>
          <w:sz w:val="20"/>
          <w:szCs w:val="20"/>
        </w:rPr>
        <w:t>S</w:t>
      </w:r>
      <w:r w:rsidRPr="00CC377C">
        <w:rPr>
          <w:rFonts w:ascii="Arial" w:hAnsi="Arial" w:cs="Arial"/>
          <w:bCs/>
          <w:noProof/>
          <w:sz w:val="20"/>
          <w:szCs w:val="20"/>
        </w:rPr>
        <w:t xml:space="preserve">tato sociale che si preoccupa di promuovere il benessere di tutti i cittadini, di eliminare le condizioni di bisogno in modo da consentire a tutti l’effettivo godimento dei diritti civili e politici e garantire il libero sviluppo della personalità. L’ordinamento costituzionale considera compito fondamentale della Repubblica assicurare alle persone e alle famiglie un sistema integrato di interventi e servizi sociali, promuovere interventi per garantire la qualità della vita, pari opportunità, non discriminazione e diritti di cittadinanza, prevenire, eliminare o ridurre le condizioni di disabilità, di bisogno e di disagio individuale e familiare, derivanti da inadeguatezza di reddito, difficoltà sociali e condizioni di non autonomia, in coerenza con gli articoli 2, 3 e 38 della Costituzione. Ai fini della Legge quadro n. 328 del 2000 per </w:t>
      </w:r>
      <w:r>
        <w:rPr>
          <w:rFonts w:ascii="Arial" w:hAnsi="Arial" w:cs="Arial"/>
          <w:bCs/>
          <w:noProof/>
          <w:sz w:val="20"/>
          <w:szCs w:val="20"/>
        </w:rPr>
        <w:t>“servizi sociali”</w:t>
      </w:r>
      <w:r w:rsidRPr="00CC377C">
        <w:rPr>
          <w:rFonts w:ascii="Arial" w:hAnsi="Arial" w:cs="Arial"/>
          <w:bCs/>
          <w:noProof/>
          <w:sz w:val="20"/>
          <w:szCs w:val="20"/>
        </w:rPr>
        <w:t xml:space="preserve"> si intendono tutte le attività relative alla predisposizione ed erogazione di servizi, gratuiti e a pagamento, o di prestazioni economiche destinate a rimuovere e superare le situazioni di bisogno e di difficoltà che la persona umana incontra nel corso della sua vita, escluse soltanto quelle assicurate dal sistema previdenziale e da quello sanitario, nonché quelle assicurate in sede di amministrazione della giustizia. </w:t>
      </w:r>
    </w:p>
    <w:p w14:paraId="5319E25D" w14:textId="77777777" w:rsidR="001F6E7C" w:rsidRDefault="001F6E7C" w:rsidP="001F6E7C">
      <w:pPr>
        <w:spacing w:after="120"/>
        <w:jc w:val="both"/>
        <w:outlineLvl w:val="2"/>
        <w:rPr>
          <w:rFonts w:ascii="Arial" w:hAnsi="Arial" w:cs="Arial"/>
          <w:bCs/>
          <w:noProof/>
          <w:sz w:val="20"/>
          <w:szCs w:val="20"/>
        </w:rPr>
      </w:pPr>
      <w:r w:rsidRPr="00CC377C">
        <w:rPr>
          <w:rFonts w:ascii="Arial" w:hAnsi="Arial" w:cs="Arial"/>
          <w:b/>
          <w:bCs/>
          <w:noProof/>
          <w:color w:val="1F497D"/>
          <w:sz w:val="20"/>
          <w:szCs w:val="20"/>
        </w:rPr>
        <w:t xml:space="preserve">Spesa dei </w:t>
      </w:r>
      <w:r>
        <w:rPr>
          <w:rFonts w:ascii="Arial" w:hAnsi="Arial" w:cs="Arial"/>
          <w:b/>
          <w:bCs/>
          <w:noProof/>
          <w:color w:val="1F497D"/>
          <w:sz w:val="20"/>
          <w:szCs w:val="20"/>
        </w:rPr>
        <w:t>Comuni</w:t>
      </w:r>
      <w:r w:rsidRPr="00CC377C">
        <w:rPr>
          <w:rFonts w:ascii="Arial" w:hAnsi="Arial" w:cs="Arial"/>
          <w:b/>
          <w:bCs/>
          <w:noProof/>
          <w:color w:val="1F497D"/>
          <w:sz w:val="20"/>
          <w:szCs w:val="20"/>
        </w:rPr>
        <w:t xml:space="preserve"> singoli o associati:</w:t>
      </w:r>
      <w:r w:rsidRPr="00CC377C">
        <w:rPr>
          <w:rFonts w:ascii="Arial" w:hAnsi="Arial" w:cs="Arial"/>
          <w:bCs/>
          <w:noProof/>
          <w:sz w:val="20"/>
          <w:szCs w:val="20"/>
        </w:rPr>
        <w:t xml:space="preserve"> spesa in conto corrente di competenza impegnata nell’anno di riferimento per l’erogazione dei servizi, al netto della compartecipazione degli utenti e del Servizio Sanitario</w:t>
      </w:r>
      <w:r w:rsidRPr="00AA47CE">
        <w:rPr>
          <w:rFonts w:ascii="Arial" w:hAnsi="Arial" w:cs="Arial"/>
          <w:bCs/>
          <w:noProof/>
          <w:sz w:val="20"/>
          <w:szCs w:val="20"/>
        </w:rPr>
        <w:t xml:space="preserve"> Nazionale.</w:t>
      </w:r>
    </w:p>
    <w:p w14:paraId="230DFD2D" w14:textId="77777777" w:rsidR="001F6E7C" w:rsidRPr="00AA47CE" w:rsidRDefault="001F6E7C" w:rsidP="001F6E7C">
      <w:pPr>
        <w:spacing w:after="120"/>
        <w:jc w:val="both"/>
        <w:outlineLvl w:val="2"/>
        <w:rPr>
          <w:rFonts w:ascii="Arial" w:hAnsi="Arial" w:cs="Arial"/>
          <w:bCs/>
          <w:noProof/>
          <w:sz w:val="20"/>
          <w:szCs w:val="20"/>
        </w:rPr>
      </w:pPr>
      <w:r w:rsidRPr="00CC377C">
        <w:rPr>
          <w:rFonts w:ascii="Arial" w:hAnsi="Arial" w:cs="Arial"/>
          <w:b/>
          <w:bCs/>
          <w:noProof/>
          <w:color w:val="1F497D"/>
          <w:sz w:val="20"/>
          <w:szCs w:val="20"/>
        </w:rPr>
        <w:t>Spesa</w:t>
      </w:r>
      <w:r>
        <w:rPr>
          <w:rFonts w:ascii="Arial" w:hAnsi="Arial" w:cs="Arial"/>
          <w:b/>
          <w:bCs/>
          <w:noProof/>
          <w:color w:val="1F497D"/>
          <w:sz w:val="20"/>
          <w:szCs w:val="20"/>
        </w:rPr>
        <w:t xml:space="preserve"> per la protezione sociale: </w:t>
      </w:r>
      <w:r>
        <w:rPr>
          <w:rFonts w:ascii="Arial" w:hAnsi="Arial" w:cs="Arial"/>
          <w:bCs/>
          <w:noProof/>
          <w:sz w:val="20"/>
          <w:szCs w:val="20"/>
        </w:rPr>
        <w:t>comprende le spese per previdenza, sanità e assistenza. Le spese, in base alla definizione Eurostat, sono riferite a</w:t>
      </w:r>
      <w:r w:rsidRPr="00583180">
        <w:rPr>
          <w:rFonts w:ascii="Arial" w:eastAsiaTheme="minorHAnsi" w:hAnsi="Arial" w:cs="Arial"/>
          <w:bCs/>
          <w:noProof/>
          <w:sz w:val="20"/>
          <w:szCs w:val="20"/>
          <w:lang w:eastAsia="en-US"/>
        </w:rPr>
        <w:t>: prestazioni sociali, che consistono in trasferimenti, in denaro o in natura, a famiglie e individui per sollevarli dall'onere di una serie definita di rischi o bisogni; costi di amministrazione, che rappresentano i costi a carico del sistema per la sua gestione e amministrazione; altre spese, che consistono in spese varie dei regimi di protezione sociale (pagamento di</w:t>
      </w:r>
      <w:r>
        <w:rPr>
          <w:rFonts w:ascii="Arial" w:hAnsi="Arial" w:cs="Arial"/>
          <w:bCs/>
          <w:noProof/>
          <w:sz w:val="20"/>
          <w:szCs w:val="20"/>
        </w:rPr>
        <w:t xml:space="preserve"> redditi da capitale e altro). La spesa v</w:t>
      </w:r>
      <w:r w:rsidRPr="00583180">
        <w:rPr>
          <w:rFonts w:ascii="Arial" w:eastAsiaTheme="minorHAnsi" w:hAnsi="Arial" w:cs="Arial"/>
          <w:bCs/>
          <w:noProof/>
          <w:sz w:val="20"/>
          <w:szCs w:val="20"/>
          <w:lang w:eastAsia="en-US"/>
        </w:rPr>
        <w:t>iene calcolat</w:t>
      </w:r>
      <w:r>
        <w:rPr>
          <w:rFonts w:ascii="Arial" w:hAnsi="Arial" w:cs="Arial"/>
          <w:bCs/>
          <w:noProof/>
          <w:sz w:val="20"/>
          <w:szCs w:val="20"/>
        </w:rPr>
        <w:t>a</w:t>
      </w:r>
      <w:r w:rsidRPr="00583180">
        <w:rPr>
          <w:rFonts w:ascii="Arial" w:eastAsiaTheme="minorHAnsi" w:hAnsi="Arial" w:cs="Arial"/>
          <w:bCs/>
          <w:noProof/>
          <w:sz w:val="20"/>
          <w:szCs w:val="20"/>
          <w:lang w:eastAsia="en-US"/>
        </w:rPr>
        <w:t xml:space="preserve"> a prezzi correnti.</w:t>
      </w:r>
    </w:p>
    <w:p w14:paraId="6AB676B2" w14:textId="7D0027E2" w:rsidR="001F6E7C" w:rsidRPr="004A1B85" w:rsidRDefault="001F6E7C" w:rsidP="001F6E7C">
      <w:pPr>
        <w:spacing w:after="120"/>
        <w:jc w:val="both"/>
        <w:outlineLvl w:val="2"/>
        <w:rPr>
          <w:rFonts w:ascii="Arial" w:hAnsi="Arial" w:cs="Arial"/>
          <w:bCs/>
          <w:noProof/>
          <w:sz w:val="20"/>
          <w:szCs w:val="20"/>
        </w:rPr>
      </w:pPr>
      <w:r w:rsidRPr="00AA47CE">
        <w:rPr>
          <w:rFonts w:ascii="Arial" w:hAnsi="Arial" w:cs="Arial"/>
          <w:b/>
          <w:bCs/>
          <w:noProof/>
          <w:color w:val="1F497D"/>
          <w:sz w:val="20"/>
          <w:szCs w:val="20"/>
        </w:rPr>
        <w:t xml:space="preserve">Spesa pro-capite: </w:t>
      </w:r>
      <w:r w:rsidR="00B723FF">
        <w:rPr>
          <w:rFonts w:ascii="Arial" w:hAnsi="Arial" w:cs="Arial"/>
          <w:bCs/>
          <w:noProof/>
          <w:sz w:val="20"/>
          <w:szCs w:val="20"/>
        </w:rPr>
        <w:t>s</w:t>
      </w:r>
      <w:r w:rsidRPr="00AA47CE">
        <w:rPr>
          <w:rFonts w:ascii="Arial" w:hAnsi="Arial" w:cs="Arial"/>
          <w:bCs/>
          <w:noProof/>
          <w:sz w:val="20"/>
          <w:szCs w:val="20"/>
        </w:rPr>
        <w:t xml:space="preserve">pesa dei </w:t>
      </w:r>
      <w:r>
        <w:rPr>
          <w:rFonts w:ascii="Arial" w:hAnsi="Arial" w:cs="Arial"/>
          <w:bCs/>
          <w:noProof/>
          <w:sz w:val="20"/>
          <w:szCs w:val="20"/>
        </w:rPr>
        <w:t>Comuni</w:t>
      </w:r>
      <w:r w:rsidRPr="00AA47CE">
        <w:rPr>
          <w:rFonts w:ascii="Arial" w:hAnsi="Arial" w:cs="Arial"/>
          <w:bCs/>
          <w:noProof/>
          <w:sz w:val="20"/>
          <w:szCs w:val="20"/>
        </w:rPr>
        <w:t xml:space="preserve"> singoli o associati rapportata alla popolazione media residente dell’anno di riferimento (popolazione media dell’anno t = [(popolazione al 1° gennaio dell’anno t) + (popolazione al 1° gennaio dell’anno t+1]/2.</w:t>
      </w:r>
    </w:p>
    <w:p w14:paraId="21992747" w14:textId="77777777" w:rsidR="0072785D" w:rsidRDefault="0072785D" w:rsidP="001F6E7C">
      <w:pPr>
        <w:spacing w:after="120"/>
        <w:jc w:val="both"/>
        <w:outlineLvl w:val="2"/>
        <w:rPr>
          <w:rFonts w:ascii="Arial" w:hAnsi="Arial" w:cs="Arial"/>
          <w:b/>
          <w:bCs/>
          <w:noProof/>
          <w:color w:val="1F497D"/>
          <w:sz w:val="20"/>
          <w:szCs w:val="20"/>
        </w:rPr>
      </w:pPr>
    </w:p>
    <w:p w14:paraId="74F47236" w14:textId="568AB045" w:rsidR="001F6E7C" w:rsidRDefault="001F6E7C" w:rsidP="001F6E7C">
      <w:pPr>
        <w:spacing w:after="120"/>
        <w:jc w:val="both"/>
        <w:outlineLvl w:val="2"/>
        <w:rPr>
          <w:rFonts w:ascii="Arial" w:hAnsi="Arial" w:cs="Arial"/>
          <w:bCs/>
          <w:noProof/>
          <w:sz w:val="20"/>
          <w:szCs w:val="20"/>
        </w:rPr>
      </w:pPr>
      <w:r w:rsidRPr="00AA47CE">
        <w:rPr>
          <w:rFonts w:ascii="Arial" w:hAnsi="Arial" w:cs="Arial"/>
          <w:b/>
          <w:bCs/>
          <w:noProof/>
          <w:color w:val="1F497D"/>
          <w:sz w:val="20"/>
          <w:szCs w:val="20"/>
        </w:rPr>
        <w:t xml:space="preserve">Totale spesa impegnata: </w:t>
      </w:r>
      <w:r w:rsidRPr="00AA47CE">
        <w:rPr>
          <w:rFonts w:ascii="Arial" w:hAnsi="Arial" w:cs="Arial"/>
          <w:bCs/>
          <w:noProof/>
          <w:sz w:val="20"/>
          <w:szCs w:val="20"/>
        </w:rPr>
        <w:t>spesa in conto corrente di competenza impegnata nell’anno di riferimento per l’erogazione dei servizi, al lordo della compartecipazione degli utenti e del SSN.</w:t>
      </w:r>
    </w:p>
    <w:p w14:paraId="60CE82DE" w14:textId="77777777" w:rsidR="001F6E7C" w:rsidRDefault="001F6E7C" w:rsidP="001F6E7C">
      <w:pPr>
        <w:spacing w:after="120"/>
        <w:jc w:val="both"/>
        <w:outlineLvl w:val="2"/>
        <w:rPr>
          <w:rFonts w:ascii="Arial" w:hAnsi="Arial" w:cs="Arial"/>
          <w:bCs/>
          <w:noProof/>
          <w:sz w:val="20"/>
          <w:szCs w:val="20"/>
        </w:rPr>
      </w:pPr>
      <w:r w:rsidRPr="00AA47CE">
        <w:rPr>
          <w:rFonts w:ascii="Arial" w:hAnsi="Arial" w:cs="Arial"/>
          <w:b/>
          <w:bCs/>
          <w:noProof/>
          <w:color w:val="1F497D"/>
          <w:sz w:val="20"/>
          <w:szCs w:val="20"/>
        </w:rPr>
        <w:t xml:space="preserve">Utenti: </w:t>
      </w:r>
      <w:r w:rsidRPr="00AA47CE">
        <w:rPr>
          <w:rFonts w:ascii="Arial" w:hAnsi="Arial" w:cs="Arial"/>
          <w:bCs/>
          <w:noProof/>
          <w:sz w:val="20"/>
          <w:szCs w:val="20"/>
        </w:rPr>
        <w:t>numero di persone che hanno beneficiato del servizio nell’anno di riferimento. Per alcuni servizi il numero di utenti viene rilevato al 31.12 dell’anno di riferimento (es. asili nido e strutture residenziali, come specificato nel glossario, nelle definizioni specifiche dei servizi), mentre la spesa è sempre riferita all’intero anno solare. Se il servizio è stato rivolto ad un nucleo familiare, gli utenti coincidono con le famiglie beneficiarie.</w:t>
      </w:r>
    </w:p>
    <w:p w14:paraId="584CDAA2" w14:textId="77777777" w:rsidR="002838D6" w:rsidRPr="00E34508" w:rsidRDefault="002838D6" w:rsidP="00D95ECF">
      <w:pPr>
        <w:pStyle w:val="Titolo3"/>
        <w:spacing w:before="0" w:beforeAutospacing="0" w:after="120" w:afterAutospacing="0"/>
        <w:rPr>
          <w:rFonts w:ascii="Georgia" w:hAnsi="Georgia" w:cs="Arial"/>
          <w:b w:val="0"/>
          <w:color w:val="1F497D" w:themeColor="text2"/>
          <w:sz w:val="36"/>
          <w:szCs w:val="36"/>
        </w:rPr>
      </w:pPr>
    </w:p>
    <w:p w14:paraId="4AC415F5" w14:textId="5F303ACE" w:rsidR="002137BA" w:rsidRPr="0007346F" w:rsidRDefault="002137BA" w:rsidP="00D95ECF">
      <w:pPr>
        <w:pStyle w:val="Titolo3"/>
        <w:spacing w:before="0" w:beforeAutospacing="0" w:after="120" w:afterAutospacing="0"/>
        <w:rPr>
          <w:rFonts w:ascii="Georgia" w:hAnsi="Georgia" w:cs="Arial"/>
          <w:b w:val="0"/>
          <w:color w:val="1F497D" w:themeColor="text2"/>
          <w:sz w:val="48"/>
          <w:szCs w:val="48"/>
        </w:rPr>
      </w:pPr>
      <w:r w:rsidRPr="0007346F">
        <w:rPr>
          <w:rFonts w:ascii="Georgia" w:hAnsi="Georgia" w:cs="Arial"/>
          <w:b w:val="0"/>
          <w:color w:val="1F497D" w:themeColor="text2"/>
          <w:sz w:val="48"/>
          <w:szCs w:val="48"/>
        </w:rPr>
        <w:t>Nota metodologica</w:t>
      </w:r>
    </w:p>
    <w:p w14:paraId="3A8FC133" w14:textId="77777777" w:rsidR="001F6E7C" w:rsidRPr="002261D9" w:rsidRDefault="001F6E7C" w:rsidP="001F6E7C">
      <w:pPr>
        <w:spacing w:after="120"/>
        <w:jc w:val="both"/>
        <w:rPr>
          <w:rFonts w:ascii="Arial" w:hAnsi="Arial" w:cs="Arial"/>
          <w:b/>
          <w:bCs/>
          <w:color w:val="1F497D" w:themeColor="text2"/>
          <w:sz w:val="22"/>
          <w:szCs w:val="22"/>
        </w:rPr>
      </w:pPr>
      <w:r w:rsidRPr="002261D9">
        <w:rPr>
          <w:rFonts w:ascii="Arial" w:hAnsi="Arial" w:cs="Arial"/>
          <w:b/>
          <w:bCs/>
          <w:color w:val="1F497D" w:themeColor="text2"/>
          <w:sz w:val="22"/>
          <w:szCs w:val="22"/>
        </w:rPr>
        <w:t>Introduzione e quadro normativo</w:t>
      </w:r>
    </w:p>
    <w:p w14:paraId="6B739467" w14:textId="77777777" w:rsidR="006B735D" w:rsidRPr="00AA47CE" w:rsidRDefault="006B735D" w:rsidP="006B735D">
      <w:pPr>
        <w:spacing w:after="120"/>
        <w:jc w:val="both"/>
        <w:rPr>
          <w:rFonts w:ascii="Arial" w:hAnsi="Arial" w:cs="Arial"/>
          <w:bCs/>
          <w:sz w:val="20"/>
          <w:szCs w:val="20"/>
        </w:rPr>
      </w:pPr>
      <w:r w:rsidRPr="00AA47CE">
        <w:rPr>
          <w:rFonts w:ascii="Arial" w:hAnsi="Arial" w:cs="Arial"/>
          <w:bCs/>
          <w:sz w:val="20"/>
          <w:szCs w:val="20"/>
        </w:rPr>
        <w:t>L’</w:t>
      </w:r>
      <w:r>
        <w:rPr>
          <w:rFonts w:ascii="Arial" w:hAnsi="Arial" w:cs="Arial"/>
          <w:bCs/>
          <w:sz w:val="20"/>
          <w:szCs w:val="20"/>
        </w:rPr>
        <w:t>I</w:t>
      </w:r>
      <w:r w:rsidRPr="00AA47CE">
        <w:rPr>
          <w:rFonts w:ascii="Arial" w:hAnsi="Arial" w:cs="Arial"/>
          <w:bCs/>
          <w:sz w:val="20"/>
          <w:szCs w:val="20"/>
        </w:rPr>
        <w:t xml:space="preserve">ndagine sugli interventi e i servizi sociali dei </w:t>
      </w:r>
      <w:r>
        <w:rPr>
          <w:rFonts w:ascii="Arial" w:hAnsi="Arial" w:cs="Arial"/>
          <w:bCs/>
          <w:sz w:val="20"/>
          <w:szCs w:val="20"/>
        </w:rPr>
        <w:t>Comuni</w:t>
      </w:r>
      <w:r w:rsidRPr="00AA47CE">
        <w:rPr>
          <w:rFonts w:ascii="Arial" w:hAnsi="Arial" w:cs="Arial"/>
          <w:bCs/>
          <w:sz w:val="20"/>
          <w:szCs w:val="20"/>
        </w:rPr>
        <w:t xml:space="preserve"> singoli o associati raccoglie informazioni con cadenza annuale sulle politiche di </w:t>
      </w:r>
      <w:r w:rsidRPr="00A74FB0">
        <w:rPr>
          <w:rFonts w:ascii="Arial" w:hAnsi="Arial" w:cs="Arial"/>
          <w:bCs/>
          <w:i/>
          <w:iCs/>
          <w:sz w:val="20"/>
          <w:szCs w:val="20"/>
        </w:rPr>
        <w:t>welfare</w:t>
      </w:r>
      <w:r w:rsidRPr="00AA47CE">
        <w:rPr>
          <w:rFonts w:ascii="Arial" w:hAnsi="Arial" w:cs="Arial"/>
          <w:bCs/>
          <w:sz w:val="20"/>
          <w:szCs w:val="20"/>
        </w:rPr>
        <w:t xml:space="preserve"> gestite a livello locale, </w:t>
      </w:r>
      <w:r>
        <w:rPr>
          <w:rFonts w:ascii="Arial" w:hAnsi="Arial" w:cs="Arial"/>
          <w:bCs/>
          <w:sz w:val="20"/>
          <w:szCs w:val="20"/>
        </w:rPr>
        <w:t xml:space="preserve">con riferimento alle attività realizzate e alle spese correnti impegnate nell’anno di riferimento. </w:t>
      </w:r>
      <w:r w:rsidRPr="00AA47CE">
        <w:rPr>
          <w:rFonts w:ascii="Arial" w:hAnsi="Arial" w:cs="Arial"/>
          <w:bCs/>
          <w:sz w:val="20"/>
          <w:szCs w:val="20"/>
        </w:rPr>
        <w:t xml:space="preserve">Data la complessità del questionario e delle informazioni in esso contenute, le fasi di controllo, correzione e validazione di tutti i dati raccolti comportano tempi piuttosto lunghi, con un impatto negativo sulla tempestività dell’indagine. Inoltre, poiché l’avvio della rilevazione è condizionato dalla chiusura dei bilanci dei </w:t>
      </w:r>
      <w:r>
        <w:rPr>
          <w:rFonts w:ascii="Arial" w:hAnsi="Arial" w:cs="Arial"/>
          <w:bCs/>
          <w:sz w:val="20"/>
          <w:szCs w:val="20"/>
        </w:rPr>
        <w:t>Comuni</w:t>
      </w:r>
      <w:r w:rsidRPr="00AA47CE">
        <w:rPr>
          <w:rFonts w:ascii="Arial" w:hAnsi="Arial" w:cs="Arial"/>
          <w:bCs/>
          <w:sz w:val="20"/>
          <w:szCs w:val="20"/>
        </w:rPr>
        <w:t xml:space="preserve"> e degli altri Enti di rilevazione, le informazioni </w:t>
      </w:r>
      <w:r>
        <w:rPr>
          <w:rFonts w:ascii="Arial" w:hAnsi="Arial" w:cs="Arial"/>
          <w:bCs/>
          <w:sz w:val="20"/>
          <w:szCs w:val="20"/>
        </w:rPr>
        <w:t>vengono</w:t>
      </w:r>
      <w:r w:rsidRPr="00AA47CE">
        <w:rPr>
          <w:rFonts w:ascii="Arial" w:hAnsi="Arial" w:cs="Arial"/>
          <w:bCs/>
          <w:sz w:val="20"/>
          <w:szCs w:val="20"/>
        </w:rPr>
        <w:t xml:space="preserve"> raccolte ogni anno a partire dal </w:t>
      </w:r>
      <w:r>
        <w:rPr>
          <w:rFonts w:ascii="Arial" w:hAnsi="Arial" w:cs="Arial"/>
          <w:bCs/>
          <w:sz w:val="20"/>
          <w:szCs w:val="20"/>
        </w:rPr>
        <w:t>mese di</w:t>
      </w:r>
      <w:r w:rsidRPr="00AA47CE">
        <w:rPr>
          <w:rFonts w:ascii="Arial" w:hAnsi="Arial" w:cs="Arial"/>
          <w:bCs/>
          <w:sz w:val="20"/>
          <w:szCs w:val="20"/>
        </w:rPr>
        <w:t xml:space="preserve"> luglio, con riferimento ai servizi erogati e alle spese impegnate per l’anno precedente</w:t>
      </w:r>
      <w:r>
        <w:rPr>
          <w:rFonts w:ascii="Arial" w:hAnsi="Arial" w:cs="Arial"/>
          <w:bCs/>
          <w:sz w:val="20"/>
          <w:szCs w:val="20"/>
        </w:rPr>
        <w:t xml:space="preserve">. Con la tempistica consentita dalla raccolta e validazione delle informazioni presso i Comuni e gli Enti di rilevazione, l’indagine </w:t>
      </w:r>
      <w:r w:rsidRPr="00AA47CE">
        <w:rPr>
          <w:rFonts w:ascii="Arial" w:hAnsi="Arial" w:cs="Arial"/>
          <w:bCs/>
          <w:sz w:val="20"/>
          <w:szCs w:val="20"/>
        </w:rPr>
        <w:t>garant</w:t>
      </w:r>
      <w:r>
        <w:rPr>
          <w:rFonts w:ascii="Arial" w:hAnsi="Arial" w:cs="Arial"/>
          <w:bCs/>
          <w:sz w:val="20"/>
          <w:szCs w:val="20"/>
        </w:rPr>
        <w:t xml:space="preserve">isce </w:t>
      </w:r>
      <w:r w:rsidRPr="00AA47CE">
        <w:rPr>
          <w:rFonts w:ascii="Arial" w:hAnsi="Arial" w:cs="Arial"/>
          <w:bCs/>
          <w:sz w:val="20"/>
          <w:szCs w:val="20"/>
        </w:rPr>
        <w:t xml:space="preserve">il monitoraggio delle risorse impiegate e delle attività realizzate nell’ambito della rete integrata di servizi sociali territoriali. </w:t>
      </w:r>
    </w:p>
    <w:p w14:paraId="18684DA4" w14:textId="77777777" w:rsidR="001F6E7C" w:rsidRPr="00AA47CE" w:rsidRDefault="001F6E7C" w:rsidP="001F6E7C">
      <w:pPr>
        <w:spacing w:after="120"/>
        <w:jc w:val="both"/>
        <w:rPr>
          <w:rFonts w:ascii="Arial" w:hAnsi="Arial" w:cs="Arial"/>
          <w:bCs/>
          <w:sz w:val="20"/>
          <w:szCs w:val="20"/>
        </w:rPr>
      </w:pPr>
      <w:r w:rsidRPr="00AA47CE">
        <w:rPr>
          <w:rFonts w:ascii="Arial" w:hAnsi="Arial" w:cs="Arial"/>
          <w:bCs/>
          <w:sz w:val="20"/>
          <w:szCs w:val="20"/>
        </w:rPr>
        <w:t xml:space="preserve">I </w:t>
      </w:r>
      <w:r>
        <w:rPr>
          <w:rFonts w:ascii="Arial" w:hAnsi="Arial" w:cs="Arial"/>
          <w:bCs/>
          <w:sz w:val="20"/>
          <w:szCs w:val="20"/>
        </w:rPr>
        <w:t>Comuni</w:t>
      </w:r>
      <w:r w:rsidRPr="00AA47CE">
        <w:rPr>
          <w:rFonts w:ascii="Arial" w:hAnsi="Arial" w:cs="Arial"/>
          <w:bCs/>
          <w:sz w:val="20"/>
          <w:szCs w:val="20"/>
        </w:rPr>
        <w:t xml:space="preserve">, come previsto dalla </w:t>
      </w:r>
      <w:r>
        <w:rPr>
          <w:rFonts w:ascii="Arial" w:hAnsi="Arial" w:cs="Arial"/>
          <w:bCs/>
          <w:sz w:val="20"/>
          <w:szCs w:val="20"/>
        </w:rPr>
        <w:t>L</w:t>
      </w:r>
      <w:r w:rsidRPr="00AA47CE">
        <w:rPr>
          <w:rFonts w:ascii="Arial" w:hAnsi="Arial" w:cs="Arial"/>
          <w:bCs/>
          <w:sz w:val="20"/>
          <w:szCs w:val="20"/>
        </w:rPr>
        <w:t xml:space="preserve">egge quadro di riforma dell’assistenza n. 328 del 2000, sono titolari della gestione di interventi e servizi socio-assistenziali a favore dei cittadini, gestione che viene esercitata singolarmente o in forma associata fra </w:t>
      </w:r>
      <w:r>
        <w:rPr>
          <w:rFonts w:ascii="Arial" w:hAnsi="Arial" w:cs="Arial"/>
          <w:bCs/>
          <w:sz w:val="20"/>
          <w:szCs w:val="20"/>
        </w:rPr>
        <w:t>Comuni</w:t>
      </w:r>
      <w:r w:rsidRPr="00AA47CE">
        <w:rPr>
          <w:rFonts w:ascii="Arial" w:hAnsi="Arial" w:cs="Arial"/>
          <w:bCs/>
          <w:sz w:val="20"/>
          <w:szCs w:val="20"/>
        </w:rPr>
        <w:t xml:space="preserve"> limitrofi, in attuazione dei piani sociali di zona e regionali, definiti da ciascuna Regione nell’esercizio delle proprie funzioni di programmazione.</w:t>
      </w:r>
    </w:p>
    <w:p w14:paraId="74774DEA" w14:textId="77777777" w:rsidR="001F6E7C" w:rsidRPr="00AA47CE" w:rsidRDefault="001F6E7C" w:rsidP="001F6E7C">
      <w:pPr>
        <w:spacing w:after="120"/>
        <w:jc w:val="both"/>
        <w:rPr>
          <w:rFonts w:ascii="Arial" w:hAnsi="Arial" w:cs="Arial"/>
          <w:bCs/>
          <w:sz w:val="20"/>
          <w:szCs w:val="20"/>
        </w:rPr>
      </w:pPr>
      <w:r w:rsidRPr="00AA47CE">
        <w:rPr>
          <w:rFonts w:ascii="Arial" w:hAnsi="Arial" w:cs="Arial"/>
          <w:bCs/>
          <w:sz w:val="20"/>
          <w:szCs w:val="20"/>
        </w:rPr>
        <w:t>A seguito della chiusura annuale dei Bilanci di ciascun comune, redatti in base alle classificazioni inerenti le regole di contabilità internazionale, l’Indagine ha l’obiettivo di approfondire con dati statistici i servizi e gli interventi sociali erogati nelle loro aree di competenza, visto che le voci di costo della contabilità economica non hanno questo obiettivo.</w:t>
      </w:r>
    </w:p>
    <w:p w14:paraId="1FF4F2D6" w14:textId="0AE625A3" w:rsidR="001F6E7C" w:rsidRPr="00AA47CE" w:rsidRDefault="001F6E7C" w:rsidP="001F6E7C">
      <w:pPr>
        <w:spacing w:after="120"/>
        <w:jc w:val="both"/>
        <w:rPr>
          <w:rFonts w:ascii="Arial" w:hAnsi="Arial" w:cs="Arial"/>
          <w:bCs/>
          <w:sz w:val="20"/>
          <w:szCs w:val="20"/>
        </w:rPr>
      </w:pPr>
      <w:r w:rsidRPr="00AA47CE">
        <w:rPr>
          <w:rFonts w:ascii="Arial" w:hAnsi="Arial" w:cs="Arial"/>
          <w:bCs/>
          <w:sz w:val="20"/>
          <w:szCs w:val="20"/>
        </w:rPr>
        <w:t xml:space="preserve">La rilevazione è svolta in collaborazione con la Ragioneria Generale dello Stato, quindi il Ministero dell’Economia e delle Finanze, con la maggior parte delle regioni (Piemonte, Liguria, Veneto, Lombardia, Emilia Romagna, </w:t>
      </w:r>
      <w:r w:rsidR="00906C8C">
        <w:rPr>
          <w:rFonts w:ascii="Arial" w:hAnsi="Arial" w:cs="Arial"/>
          <w:bCs/>
          <w:sz w:val="20"/>
          <w:szCs w:val="20"/>
        </w:rPr>
        <w:br/>
      </w:r>
      <w:r w:rsidRPr="00AA47CE">
        <w:rPr>
          <w:rFonts w:ascii="Arial" w:hAnsi="Arial" w:cs="Arial"/>
          <w:bCs/>
          <w:sz w:val="20"/>
          <w:szCs w:val="20"/>
        </w:rPr>
        <w:t xml:space="preserve">Friuli Venezia Giulia, Toscana, Umbria, Marche, Basilicata, Puglia, Sicilia) e con la Provincia </w:t>
      </w:r>
      <w:r>
        <w:rPr>
          <w:rFonts w:ascii="Arial" w:hAnsi="Arial" w:cs="Arial"/>
          <w:bCs/>
          <w:sz w:val="20"/>
          <w:szCs w:val="20"/>
        </w:rPr>
        <w:t>A</w:t>
      </w:r>
      <w:r w:rsidRPr="00AA47CE">
        <w:rPr>
          <w:rFonts w:ascii="Arial" w:hAnsi="Arial" w:cs="Arial"/>
          <w:bCs/>
          <w:sz w:val="20"/>
          <w:szCs w:val="20"/>
        </w:rPr>
        <w:t>utonoma di Trento.</w:t>
      </w:r>
    </w:p>
    <w:p w14:paraId="1314B3B7" w14:textId="77777777" w:rsidR="001F6E7C" w:rsidRPr="00AA47CE" w:rsidRDefault="001F6E7C" w:rsidP="001F6E7C">
      <w:pPr>
        <w:spacing w:after="120"/>
        <w:jc w:val="both"/>
        <w:rPr>
          <w:rFonts w:ascii="Arial" w:hAnsi="Arial" w:cs="Arial"/>
          <w:bCs/>
          <w:sz w:val="20"/>
          <w:szCs w:val="20"/>
        </w:rPr>
      </w:pPr>
      <w:r w:rsidRPr="00AA47CE">
        <w:rPr>
          <w:rFonts w:ascii="Arial" w:hAnsi="Arial" w:cs="Arial"/>
          <w:bCs/>
          <w:sz w:val="20"/>
          <w:szCs w:val="20"/>
        </w:rPr>
        <w:t>Dal 2011 le informazioni relative agli asili nido e agli altri servizi socio-educativi per la prima infanzia sono oggetto di una rilevazione a sé stante, inserita nell’ambito della più generale rilevazione sugli interventi e servizi sociali con l’obiettivo di fornire un quadro più dettagliato dell’offerta di servizi per la prima infanzia (per bambini fra 0 e 36 mesi).</w:t>
      </w:r>
    </w:p>
    <w:p w14:paraId="1C3F4142" w14:textId="77777777" w:rsidR="001F6E7C" w:rsidRDefault="001F6E7C" w:rsidP="001F6E7C">
      <w:pPr>
        <w:spacing w:after="120"/>
        <w:jc w:val="both"/>
        <w:rPr>
          <w:rFonts w:ascii="Arial" w:hAnsi="Arial" w:cs="Arial"/>
          <w:bCs/>
          <w:sz w:val="20"/>
          <w:szCs w:val="20"/>
        </w:rPr>
      </w:pPr>
      <w:r w:rsidRPr="00092DDF">
        <w:rPr>
          <w:rFonts w:ascii="Arial" w:hAnsi="Arial" w:cs="Arial"/>
          <w:bCs/>
          <w:sz w:val="20"/>
          <w:szCs w:val="20"/>
        </w:rPr>
        <w:t xml:space="preserve">Entrambe le indagini sono inserite nel </w:t>
      </w:r>
      <w:r w:rsidRPr="00451600">
        <w:rPr>
          <w:rFonts w:ascii="Arial" w:hAnsi="Arial" w:cs="Arial"/>
          <w:sz w:val="20"/>
          <w:szCs w:val="20"/>
        </w:rPr>
        <w:t xml:space="preserve">Programma statistico nazionale </w:t>
      </w:r>
      <w:r>
        <w:rPr>
          <w:rFonts w:ascii="Arial" w:hAnsi="Arial" w:cs="Arial"/>
          <w:sz w:val="20"/>
          <w:szCs w:val="20"/>
        </w:rPr>
        <w:t>2020-2022</w:t>
      </w:r>
      <w:r w:rsidRPr="00451600">
        <w:rPr>
          <w:rFonts w:ascii="Arial" w:hAnsi="Arial" w:cs="Arial"/>
          <w:sz w:val="20"/>
          <w:szCs w:val="20"/>
        </w:rPr>
        <w:t xml:space="preserve">, approvato con DPR </w:t>
      </w:r>
      <w:r>
        <w:rPr>
          <w:rFonts w:ascii="Arial" w:hAnsi="Arial" w:cs="Arial"/>
          <w:sz w:val="20"/>
          <w:szCs w:val="20"/>
        </w:rPr>
        <w:t>9 marzo 2022</w:t>
      </w:r>
      <w:r w:rsidRPr="00092DDF">
        <w:rPr>
          <w:rFonts w:ascii="Arial" w:hAnsi="Arial" w:cs="Arial"/>
          <w:bCs/>
          <w:sz w:val="20"/>
          <w:szCs w:val="20"/>
        </w:rPr>
        <w:t>.</w:t>
      </w:r>
    </w:p>
    <w:p w14:paraId="51B45D11" w14:textId="77777777" w:rsidR="00906C8C" w:rsidRPr="002261D9" w:rsidRDefault="00906C8C" w:rsidP="001F6E7C">
      <w:pPr>
        <w:spacing w:after="120"/>
        <w:jc w:val="both"/>
        <w:rPr>
          <w:rFonts w:ascii="Arial" w:hAnsi="Arial" w:cs="Arial"/>
          <w:bCs/>
          <w:sz w:val="20"/>
          <w:szCs w:val="20"/>
        </w:rPr>
      </w:pPr>
    </w:p>
    <w:p w14:paraId="41B74948" w14:textId="4F1DD04B" w:rsidR="001F6E7C" w:rsidRPr="002261D9" w:rsidRDefault="001F6E7C" w:rsidP="001F6E7C">
      <w:pPr>
        <w:spacing w:after="120"/>
        <w:jc w:val="both"/>
        <w:rPr>
          <w:rFonts w:ascii="Arial" w:hAnsi="Arial" w:cs="Arial"/>
          <w:b/>
          <w:bCs/>
          <w:color w:val="1F497D" w:themeColor="text2"/>
          <w:sz w:val="22"/>
          <w:szCs w:val="22"/>
        </w:rPr>
      </w:pPr>
      <w:r>
        <w:rPr>
          <w:rFonts w:ascii="Arial" w:hAnsi="Arial" w:cs="Arial"/>
          <w:b/>
          <w:bCs/>
          <w:color w:val="1F497D" w:themeColor="text2"/>
          <w:sz w:val="22"/>
          <w:szCs w:val="22"/>
        </w:rPr>
        <w:t>U</w:t>
      </w:r>
      <w:r w:rsidRPr="002261D9">
        <w:rPr>
          <w:rFonts w:ascii="Arial" w:hAnsi="Arial" w:cs="Arial"/>
          <w:b/>
          <w:bCs/>
          <w:color w:val="1F497D" w:themeColor="text2"/>
          <w:sz w:val="22"/>
          <w:szCs w:val="22"/>
        </w:rPr>
        <w:t>nità di rilevazione e di analisi</w:t>
      </w:r>
    </w:p>
    <w:p w14:paraId="2F8333DC" w14:textId="39746D35" w:rsidR="001F6E7C" w:rsidRPr="00AA47CE" w:rsidRDefault="001F6E7C" w:rsidP="001F6E7C">
      <w:pPr>
        <w:spacing w:after="120"/>
        <w:jc w:val="both"/>
        <w:rPr>
          <w:rFonts w:ascii="Arial" w:hAnsi="Arial" w:cs="Arial"/>
          <w:bCs/>
          <w:sz w:val="20"/>
          <w:szCs w:val="20"/>
        </w:rPr>
      </w:pPr>
      <w:r w:rsidRPr="00AA47CE">
        <w:rPr>
          <w:rFonts w:ascii="Arial" w:hAnsi="Arial" w:cs="Arial"/>
          <w:bCs/>
          <w:sz w:val="20"/>
          <w:szCs w:val="20"/>
        </w:rPr>
        <w:t xml:space="preserve">L’unità di rilevazione dell’indagine è costituita dai </w:t>
      </w:r>
      <w:r>
        <w:rPr>
          <w:rFonts w:ascii="Arial" w:hAnsi="Arial" w:cs="Arial"/>
          <w:bCs/>
          <w:sz w:val="20"/>
          <w:szCs w:val="20"/>
        </w:rPr>
        <w:t>Comuni</w:t>
      </w:r>
      <w:r w:rsidRPr="00AA47CE">
        <w:rPr>
          <w:rFonts w:ascii="Arial" w:hAnsi="Arial" w:cs="Arial"/>
          <w:bCs/>
          <w:sz w:val="20"/>
          <w:szCs w:val="20"/>
        </w:rPr>
        <w:t xml:space="preserve"> singoli, dalle loro associazioni e da tutti gli enti che contribuiscono all’offerta di servizi per delega da parte dei </w:t>
      </w:r>
      <w:r>
        <w:rPr>
          <w:rFonts w:ascii="Arial" w:hAnsi="Arial" w:cs="Arial"/>
          <w:bCs/>
          <w:sz w:val="20"/>
          <w:szCs w:val="20"/>
        </w:rPr>
        <w:t>Comuni</w:t>
      </w:r>
      <w:r w:rsidRPr="00AA47CE">
        <w:rPr>
          <w:rFonts w:ascii="Arial" w:hAnsi="Arial" w:cs="Arial"/>
          <w:bCs/>
          <w:sz w:val="20"/>
          <w:szCs w:val="20"/>
        </w:rPr>
        <w:t xml:space="preserve">: consorzi, comprensori, </w:t>
      </w:r>
      <w:r>
        <w:rPr>
          <w:rFonts w:ascii="Arial" w:hAnsi="Arial" w:cs="Arial"/>
          <w:bCs/>
          <w:sz w:val="20"/>
          <w:szCs w:val="20"/>
        </w:rPr>
        <w:t>Comuni</w:t>
      </w:r>
      <w:r w:rsidRPr="00AA47CE">
        <w:rPr>
          <w:rFonts w:ascii="Arial" w:hAnsi="Arial" w:cs="Arial"/>
          <w:bCs/>
          <w:sz w:val="20"/>
          <w:szCs w:val="20"/>
        </w:rPr>
        <w:t xml:space="preserve">tà montane, unioni di </w:t>
      </w:r>
      <w:r>
        <w:rPr>
          <w:rFonts w:ascii="Arial" w:hAnsi="Arial" w:cs="Arial"/>
          <w:bCs/>
          <w:sz w:val="20"/>
          <w:szCs w:val="20"/>
        </w:rPr>
        <w:t>Comuni</w:t>
      </w:r>
      <w:r w:rsidRPr="00AA47CE">
        <w:rPr>
          <w:rFonts w:ascii="Arial" w:hAnsi="Arial" w:cs="Arial"/>
          <w:bCs/>
          <w:sz w:val="20"/>
          <w:szCs w:val="20"/>
        </w:rPr>
        <w:t xml:space="preserve">, ambiti e distretti sociali, Asl e altre forme associative, per un totale di circa 9mila enti. </w:t>
      </w:r>
    </w:p>
    <w:p w14:paraId="57695D8E" w14:textId="48F19E9F" w:rsidR="001F6E7C" w:rsidRPr="00AA47CE" w:rsidRDefault="001F6E7C" w:rsidP="001F6E7C">
      <w:pPr>
        <w:spacing w:after="120"/>
        <w:jc w:val="both"/>
        <w:rPr>
          <w:rFonts w:ascii="Arial" w:hAnsi="Arial" w:cs="Arial"/>
          <w:bCs/>
          <w:sz w:val="20"/>
          <w:szCs w:val="20"/>
        </w:rPr>
      </w:pPr>
      <w:r w:rsidRPr="00AA47CE">
        <w:rPr>
          <w:rFonts w:ascii="Arial" w:hAnsi="Arial" w:cs="Arial"/>
          <w:bCs/>
          <w:sz w:val="20"/>
          <w:szCs w:val="20"/>
        </w:rPr>
        <w:t xml:space="preserve">L’aggiornamento delle liste di riferimento viene fatto ogni anno all’avvio della nuova rilevazione con il supporto delle Regioni compartecipanti. </w:t>
      </w:r>
      <w:r w:rsidR="00906C8C" w:rsidRPr="00AA47CE">
        <w:rPr>
          <w:rFonts w:ascii="Arial" w:hAnsi="Arial" w:cs="Arial"/>
          <w:bCs/>
          <w:sz w:val="20"/>
          <w:szCs w:val="20"/>
        </w:rPr>
        <w:t>Inoltre,</w:t>
      </w:r>
      <w:r w:rsidRPr="00AA47CE">
        <w:rPr>
          <w:rFonts w:ascii="Arial" w:hAnsi="Arial" w:cs="Arial"/>
          <w:bCs/>
          <w:sz w:val="20"/>
          <w:szCs w:val="20"/>
        </w:rPr>
        <w:t xml:space="preserve"> nel corso della rilevazione attraverso la piattaforma informatica dell’indagine si acquisiscono informazioni sull’istituzione di nuovi enti associativi e sui </w:t>
      </w:r>
      <w:r>
        <w:rPr>
          <w:rFonts w:ascii="Arial" w:hAnsi="Arial" w:cs="Arial"/>
          <w:bCs/>
          <w:sz w:val="20"/>
          <w:szCs w:val="20"/>
        </w:rPr>
        <w:t>Comuni</w:t>
      </w:r>
      <w:r w:rsidRPr="00AA47CE">
        <w:rPr>
          <w:rFonts w:ascii="Arial" w:hAnsi="Arial" w:cs="Arial"/>
          <w:bCs/>
          <w:sz w:val="20"/>
          <w:szCs w:val="20"/>
        </w:rPr>
        <w:t xml:space="preserve"> che ne fanno parte, sulle cessazioni di Enti o il ritiro delle deleghe per i servizi sociali da parte dei </w:t>
      </w:r>
      <w:r>
        <w:rPr>
          <w:rFonts w:ascii="Arial" w:hAnsi="Arial" w:cs="Arial"/>
          <w:bCs/>
          <w:sz w:val="20"/>
          <w:szCs w:val="20"/>
        </w:rPr>
        <w:t>Comuni</w:t>
      </w:r>
      <w:r w:rsidRPr="00AA47CE">
        <w:rPr>
          <w:rFonts w:ascii="Arial" w:hAnsi="Arial" w:cs="Arial"/>
          <w:bCs/>
          <w:sz w:val="20"/>
          <w:szCs w:val="20"/>
        </w:rPr>
        <w:t>, quindi sull’assetto organizzativo dei servizi sul territorio e sugli enti oggetto di rilevazione:</w:t>
      </w:r>
    </w:p>
    <w:p w14:paraId="0036FA3D" w14:textId="785F08E2" w:rsidR="001F6E7C" w:rsidRDefault="001F6E7C" w:rsidP="001F6E7C">
      <w:pPr>
        <w:spacing w:after="120"/>
        <w:jc w:val="both"/>
        <w:rPr>
          <w:rFonts w:ascii="Arial" w:hAnsi="Arial" w:cs="Arial"/>
          <w:bCs/>
          <w:sz w:val="20"/>
          <w:szCs w:val="20"/>
        </w:rPr>
      </w:pPr>
      <w:r w:rsidRPr="00AA47CE">
        <w:rPr>
          <w:rFonts w:ascii="Arial" w:hAnsi="Arial" w:cs="Arial"/>
          <w:bCs/>
          <w:sz w:val="20"/>
          <w:szCs w:val="20"/>
        </w:rPr>
        <w:t xml:space="preserve">Le principali unità di analisi sono i </w:t>
      </w:r>
      <w:r>
        <w:rPr>
          <w:rFonts w:ascii="Arial" w:hAnsi="Arial" w:cs="Arial"/>
          <w:bCs/>
          <w:sz w:val="20"/>
          <w:szCs w:val="20"/>
        </w:rPr>
        <w:t>Comuni</w:t>
      </w:r>
      <w:r w:rsidRPr="00AA47CE">
        <w:rPr>
          <w:rFonts w:ascii="Arial" w:hAnsi="Arial" w:cs="Arial"/>
          <w:bCs/>
          <w:sz w:val="20"/>
          <w:szCs w:val="20"/>
        </w:rPr>
        <w:t xml:space="preserve"> e le loro forme associative, cui sono riferiti i dati sui servizi e gli interventi realizzati nell’anno: il numero degli utenti serviti e le spese sostenute per garantire tale offerta secondo le varie forme di gestione.</w:t>
      </w:r>
    </w:p>
    <w:p w14:paraId="6299B285" w14:textId="06741E6C" w:rsidR="003F0831" w:rsidRDefault="003F0831">
      <w:pPr>
        <w:rPr>
          <w:rFonts w:ascii="Arial" w:hAnsi="Arial" w:cs="Arial"/>
          <w:bCs/>
          <w:sz w:val="20"/>
          <w:szCs w:val="20"/>
        </w:rPr>
      </w:pPr>
      <w:r>
        <w:rPr>
          <w:rFonts w:ascii="Arial" w:hAnsi="Arial" w:cs="Arial"/>
          <w:bCs/>
          <w:sz w:val="20"/>
          <w:szCs w:val="20"/>
        </w:rPr>
        <w:br w:type="page"/>
      </w:r>
    </w:p>
    <w:p w14:paraId="582AADFB" w14:textId="5E28F4E1" w:rsidR="001F6E7C" w:rsidRPr="002261D9" w:rsidRDefault="001F6E7C" w:rsidP="001F6E7C">
      <w:pPr>
        <w:spacing w:after="120"/>
        <w:jc w:val="both"/>
        <w:rPr>
          <w:rFonts w:ascii="Arial" w:hAnsi="Arial" w:cs="Arial"/>
          <w:b/>
          <w:bCs/>
          <w:color w:val="1F497D" w:themeColor="text2"/>
          <w:sz w:val="22"/>
          <w:szCs w:val="22"/>
        </w:rPr>
      </w:pPr>
      <w:r>
        <w:rPr>
          <w:rFonts w:ascii="Arial" w:hAnsi="Arial" w:cs="Arial"/>
          <w:b/>
          <w:bCs/>
          <w:color w:val="1F497D" w:themeColor="text2"/>
          <w:sz w:val="22"/>
          <w:szCs w:val="22"/>
        </w:rPr>
        <w:lastRenderedPageBreak/>
        <w:t>La r</w:t>
      </w:r>
      <w:r w:rsidRPr="002261D9">
        <w:rPr>
          <w:rFonts w:ascii="Arial" w:hAnsi="Arial" w:cs="Arial"/>
          <w:b/>
          <w:bCs/>
          <w:color w:val="1F497D" w:themeColor="text2"/>
          <w:sz w:val="22"/>
          <w:szCs w:val="22"/>
        </w:rPr>
        <w:t xml:space="preserve">accolta </w:t>
      </w:r>
      <w:r>
        <w:rPr>
          <w:rFonts w:ascii="Arial" w:hAnsi="Arial" w:cs="Arial"/>
          <w:b/>
          <w:bCs/>
          <w:color w:val="1F497D" w:themeColor="text2"/>
          <w:sz w:val="22"/>
          <w:szCs w:val="22"/>
        </w:rPr>
        <w:t>delle informazioni</w:t>
      </w:r>
    </w:p>
    <w:p w14:paraId="78615C62" w14:textId="1E38F448" w:rsidR="001F6E7C" w:rsidRPr="00AA47CE" w:rsidRDefault="001F6E7C" w:rsidP="001F6E7C">
      <w:pPr>
        <w:spacing w:after="120"/>
        <w:jc w:val="both"/>
        <w:rPr>
          <w:rFonts w:ascii="Arial" w:hAnsi="Arial" w:cs="Arial"/>
          <w:bCs/>
          <w:sz w:val="20"/>
          <w:szCs w:val="20"/>
        </w:rPr>
      </w:pPr>
      <w:r w:rsidRPr="00AA47CE">
        <w:rPr>
          <w:rFonts w:ascii="Arial" w:hAnsi="Arial" w:cs="Arial"/>
          <w:bCs/>
          <w:sz w:val="20"/>
          <w:szCs w:val="20"/>
        </w:rPr>
        <w:t xml:space="preserve">I dati vengono raccolti annualmente attraverso una piattaforma presente sul sito del Ministero dell’Economia e </w:t>
      </w:r>
      <w:r w:rsidR="00AD7F07">
        <w:rPr>
          <w:rFonts w:ascii="Arial" w:hAnsi="Arial" w:cs="Arial"/>
          <w:bCs/>
          <w:sz w:val="20"/>
          <w:szCs w:val="20"/>
        </w:rPr>
        <w:t xml:space="preserve">delle </w:t>
      </w:r>
      <w:r w:rsidRPr="00AA47CE">
        <w:rPr>
          <w:rFonts w:ascii="Arial" w:hAnsi="Arial" w:cs="Arial"/>
          <w:bCs/>
          <w:sz w:val="20"/>
          <w:szCs w:val="20"/>
        </w:rPr>
        <w:t xml:space="preserve">Finanze, accessibile a tutti i </w:t>
      </w:r>
      <w:r>
        <w:rPr>
          <w:rFonts w:ascii="Arial" w:hAnsi="Arial" w:cs="Arial"/>
          <w:bCs/>
          <w:sz w:val="20"/>
          <w:szCs w:val="20"/>
        </w:rPr>
        <w:t>Comuni</w:t>
      </w:r>
      <w:r w:rsidRPr="00AA47CE">
        <w:rPr>
          <w:rFonts w:ascii="Arial" w:hAnsi="Arial" w:cs="Arial"/>
          <w:bCs/>
          <w:sz w:val="20"/>
          <w:szCs w:val="20"/>
        </w:rPr>
        <w:t xml:space="preserve"> e le associazioni di </w:t>
      </w:r>
      <w:r>
        <w:rPr>
          <w:rFonts w:ascii="Arial" w:hAnsi="Arial" w:cs="Arial"/>
          <w:bCs/>
          <w:sz w:val="20"/>
          <w:szCs w:val="20"/>
        </w:rPr>
        <w:t>Comuni</w:t>
      </w:r>
      <w:r w:rsidRPr="00AA47CE">
        <w:rPr>
          <w:rFonts w:ascii="Arial" w:hAnsi="Arial" w:cs="Arial"/>
          <w:bCs/>
          <w:sz w:val="20"/>
          <w:szCs w:val="20"/>
        </w:rPr>
        <w:t xml:space="preserve"> che concorrono all’offerta pubblica dei servizi sociali. </w:t>
      </w:r>
    </w:p>
    <w:p w14:paraId="0517C4C9" w14:textId="77777777" w:rsidR="00D31259" w:rsidRDefault="00D31259" w:rsidP="00D31259">
      <w:pPr>
        <w:spacing w:after="120"/>
        <w:jc w:val="both"/>
        <w:rPr>
          <w:rFonts w:ascii="Arial" w:hAnsi="Arial" w:cs="Arial"/>
          <w:bCs/>
          <w:sz w:val="20"/>
          <w:szCs w:val="20"/>
        </w:rPr>
      </w:pPr>
      <w:r w:rsidRPr="00AA47CE">
        <w:rPr>
          <w:rFonts w:ascii="Arial" w:hAnsi="Arial" w:cs="Arial"/>
          <w:bCs/>
          <w:sz w:val="20"/>
          <w:szCs w:val="20"/>
        </w:rPr>
        <w:t>I referenti di ciascun Comune ed ente associativo compilano sulla piattaforma informatica due questionari: uno per l’insieme degli interventi e servizi sociali offerti a livello locale, uno riferito ai soli servizi socio-educativi per la prima infanzia. Alla chiusura del questionario riferito agli asili nido e agli altri servizi per la prima infanzia, le informazioni in esso contenute vengono sintetizzate e</w:t>
      </w:r>
      <w:r>
        <w:rPr>
          <w:rFonts w:ascii="Arial" w:hAnsi="Arial" w:cs="Arial"/>
          <w:bCs/>
          <w:sz w:val="20"/>
          <w:szCs w:val="20"/>
        </w:rPr>
        <w:t xml:space="preserve"> </w:t>
      </w:r>
      <w:r w:rsidRPr="00AA47CE">
        <w:rPr>
          <w:rFonts w:ascii="Arial" w:hAnsi="Arial" w:cs="Arial"/>
          <w:bCs/>
          <w:sz w:val="20"/>
          <w:szCs w:val="20"/>
        </w:rPr>
        <w:t xml:space="preserve">“trasferite” sul questionario più generale, riferito cioè a tutti gli interventi e servizi sociali. </w:t>
      </w:r>
    </w:p>
    <w:p w14:paraId="7BE514BA" w14:textId="77777777" w:rsidR="00D31259" w:rsidRPr="00AA47CE" w:rsidRDefault="00D31259" w:rsidP="00D31259">
      <w:pPr>
        <w:spacing w:after="120"/>
        <w:jc w:val="both"/>
        <w:rPr>
          <w:rFonts w:ascii="Arial" w:hAnsi="Arial" w:cs="Arial"/>
          <w:bCs/>
          <w:sz w:val="20"/>
          <w:szCs w:val="20"/>
        </w:rPr>
      </w:pPr>
      <w:r w:rsidRPr="00AA47CE">
        <w:rPr>
          <w:rFonts w:ascii="Arial" w:hAnsi="Arial" w:cs="Arial"/>
          <w:bCs/>
          <w:sz w:val="20"/>
          <w:szCs w:val="20"/>
        </w:rPr>
        <w:t>Tale questionario è articolato in sette aree di intervento o categorie di utenti dei servizi: “famiglia e minori”, “disabili”, “dipendenze”, “anziani”, “immigrati</w:t>
      </w:r>
      <w:r>
        <w:rPr>
          <w:rFonts w:ascii="Arial" w:hAnsi="Arial" w:cs="Arial"/>
          <w:bCs/>
          <w:sz w:val="20"/>
          <w:szCs w:val="20"/>
        </w:rPr>
        <w:t xml:space="preserve">, Rom, Sinti e </w:t>
      </w:r>
      <w:proofErr w:type="spellStart"/>
      <w:r>
        <w:rPr>
          <w:rFonts w:ascii="Arial" w:hAnsi="Arial" w:cs="Arial"/>
          <w:bCs/>
          <w:sz w:val="20"/>
          <w:szCs w:val="20"/>
        </w:rPr>
        <w:t>Caminanti</w:t>
      </w:r>
      <w:proofErr w:type="spellEnd"/>
      <w:r w:rsidRPr="00AA47CE">
        <w:rPr>
          <w:rFonts w:ascii="Arial" w:hAnsi="Arial" w:cs="Arial"/>
          <w:bCs/>
          <w:sz w:val="20"/>
          <w:szCs w:val="20"/>
        </w:rPr>
        <w:t xml:space="preserve">”, “povertà, disagio adulti e senza dimora”, “multiutenza”. Oltre ai dati relativi ai singoli interventi e servizi sociali offerti a livello locale (numerosità degli utenti, spese sostenute e compartecipazioni pagate dagli utenti e dal Sistema Sanitario Nazionale), due moduli aggiuntivi del questionario acquisiscono informazioni sui trasferimenti fra Enti limitrofi e sulle fonti di finanziamento della spesa sociale rilevata. </w:t>
      </w:r>
    </w:p>
    <w:p w14:paraId="1E592F3D" w14:textId="77777777" w:rsidR="00D31259" w:rsidRPr="00AA47CE" w:rsidRDefault="00D31259" w:rsidP="00D31259">
      <w:pPr>
        <w:spacing w:after="120"/>
        <w:jc w:val="both"/>
        <w:rPr>
          <w:rFonts w:ascii="Arial" w:hAnsi="Arial" w:cs="Arial"/>
          <w:bCs/>
          <w:sz w:val="20"/>
          <w:szCs w:val="20"/>
        </w:rPr>
      </w:pPr>
      <w:r w:rsidRPr="00AA47CE">
        <w:rPr>
          <w:rFonts w:ascii="Arial" w:hAnsi="Arial" w:cs="Arial"/>
          <w:bCs/>
          <w:sz w:val="20"/>
          <w:szCs w:val="20"/>
        </w:rPr>
        <w:t xml:space="preserve">Il periodo compreso fra l’inizio di luglio e la fine di dicembre è dedicato alla compilazione via </w:t>
      </w:r>
      <w:r w:rsidRPr="00A74FB0">
        <w:rPr>
          <w:rFonts w:ascii="Arial" w:hAnsi="Arial" w:cs="Arial"/>
          <w:bCs/>
          <w:i/>
          <w:iCs/>
          <w:sz w:val="20"/>
          <w:szCs w:val="20"/>
        </w:rPr>
        <w:t>web</w:t>
      </w:r>
      <w:r w:rsidRPr="00AA47CE">
        <w:rPr>
          <w:rFonts w:ascii="Arial" w:hAnsi="Arial" w:cs="Arial"/>
          <w:bCs/>
          <w:sz w:val="20"/>
          <w:szCs w:val="20"/>
        </w:rPr>
        <w:t xml:space="preserve"> del questionario da parte dei referenti di ciascun Ente di rilevazione e al recupero delle unità sfuggite all’indagine. </w:t>
      </w:r>
    </w:p>
    <w:p w14:paraId="5E7600D0" w14:textId="77777777" w:rsidR="00D31259" w:rsidRPr="00AA47CE" w:rsidRDefault="00D31259" w:rsidP="00D31259">
      <w:pPr>
        <w:spacing w:after="120"/>
        <w:jc w:val="both"/>
        <w:rPr>
          <w:rFonts w:ascii="Arial" w:hAnsi="Arial" w:cs="Arial"/>
          <w:bCs/>
          <w:sz w:val="20"/>
          <w:szCs w:val="20"/>
        </w:rPr>
      </w:pPr>
      <w:r w:rsidRPr="00AA47CE">
        <w:rPr>
          <w:rFonts w:ascii="Arial" w:hAnsi="Arial" w:cs="Arial"/>
          <w:bCs/>
          <w:sz w:val="20"/>
          <w:szCs w:val="20"/>
        </w:rPr>
        <w:t>Attraverso apposite utenze di supervisione le Regioni e Province Autonome compartecipanti possono monitorare l’andamento e la qualità delle rilevazioni in corso.</w:t>
      </w:r>
    </w:p>
    <w:p w14:paraId="700A1A9B" w14:textId="77777777" w:rsidR="00D31259" w:rsidRDefault="00D31259" w:rsidP="00D31259">
      <w:pPr>
        <w:spacing w:after="120"/>
        <w:jc w:val="both"/>
        <w:rPr>
          <w:rFonts w:ascii="Arial" w:hAnsi="Arial" w:cs="Arial"/>
          <w:bCs/>
          <w:sz w:val="20"/>
          <w:szCs w:val="20"/>
        </w:rPr>
      </w:pPr>
      <w:r w:rsidRPr="00AA47CE">
        <w:rPr>
          <w:rFonts w:ascii="Arial" w:hAnsi="Arial" w:cs="Arial"/>
          <w:bCs/>
          <w:sz w:val="20"/>
          <w:szCs w:val="20"/>
        </w:rPr>
        <w:t>Per l’anno 20</w:t>
      </w:r>
      <w:r>
        <w:rPr>
          <w:rFonts w:ascii="Arial" w:hAnsi="Arial" w:cs="Arial"/>
          <w:bCs/>
          <w:sz w:val="20"/>
          <w:szCs w:val="20"/>
        </w:rPr>
        <w:t>21</w:t>
      </w:r>
      <w:r w:rsidRPr="00AA47CE">
        <w:rPr>
          <w:rFonts w:ascii="Arial" w:hAnsi="Arial" w:cs="Arial"/>
          <w:bCs/>
          <w:sz w:val="20"/>
          <w:szCs w:val="20"/>
        </w:rPr>
        <w:t xml:space="preserve"> il tasso di risposta all’indagine da parte dei </w:t>
      </w:r>
      <w:r>
        <w:rPr>
          <w:rFonts w:ascii="Arial" w:hAnsi="Arial" w:cs="Arial"/>
          <w:bCs/>
          <w:sz w:val="20"/>
          <w:szCs w:val="20"/>
        </w:rPr>
        <w:t>Comuni</w:t>
      </w:r>
      <w:r w:rsidRPr="00AA47CE">
        <w:rPr>
          <w:rFonts w:ascii="Arial" w:hAnsi="Arial" w:cs="Arial"/>
          <w:bCs/>
          <w:sz w:val="20"/>
          <w:szCs w:val="20"/>
        </w:rPr>
        <w:t xml:space="preserve"> e degli enti associativi è </w:t>
      </w:r>
      <w:r w:rsidRPr="00C34D9E">
        <w:rPr>
          <w:rFonts w:ascii="Arial" w:hAnsi="Arial" w:cs="Arial"/>
          <w:bCs/>
          <w:sz w:val="20"/>
          <w:szCs w:val="20"/>
        </w:rPr>
        <w:t>stato del 77,3% a</w:t>
      </w:r>
      <w:r w:rsidRPr="0072515A">
        <w:rPr>
          <w:rFonts w:ascii="Arial" w:hAnsi="Arial" w:cs="Arial"/>
          <w:bCs/>
          <w:sz w:val="20"/>
          <w:szCs w:val="20"/>
        </w:rPr>
        <w:t xml:space="preserve"> livello nazionale.</w:t>
      </w:r>
    </w:p>
    <w:p w14:paraId="0C86D911" w14:textId="77777777" w:rsidR="00301F07" w:rsidRPr="002261D9" w:rsidRDefault="00301F07" w:rsidP="001F6E7C">
      <w:pPr>
        <w:spacing w:after="120"/>
        <w:jc w:val="both"/>
        <w:rPr>
          <w:rFonts w:ascii="Arial" w:hAnsi="Arial" w:cs="Arial"/>
          <w:bCs/>
          <w:sz w:val="20"/>
          <w:szCs w:val="20"/>
        </w:rPr>
      </w:pPr>
    </w:p>
    <w:p w14:paraId="5622692C" w14:textId="21512006" w:rsidR="001F6E7C" w:rsidRPr="002261D9" w:rsidRDefault="001F6E7C" w:rsidP="001F6E7C">
      <w:pPr>
        <w:spacing w:after="120"/>
        <w:jc w:val="both"/>
        <w:rPr>
          <w:rFonts w:ascii="Arial" w:hAnsi="Arial" w:cs="Arial"/>
          <w:b/>
          <w:bCs/>
          <w:color w:val="1F497D" w:themeColor="text2"/>
          <w:sz w:val="22"/>
          <w:szCs w:val="22"/>
        </w:rPr>
      </w:pPr>
      <w:r w:rsidRPr="00AA47CE">
        <w:rPr>
          <w:rFonts w:ascii="Arial" w:hAnsi="Arial" w:cs="Arial"/>
          <w:b/>
          <w:bCs/>
          <w:color w:val="1F497D" w:themeColor="text2"/>
          <w:sz w:val="22"/>
          <w:szCs w:val="22"/>
        </w:rPr>
        <w:t>L’elaborazione dei dati</w:t>
      </w:r>
    </w:p>
    <w:p w14:paraId="012997BA" w14:textId="77777777" w:rsidR="001F6E7C" w:rsidRPr="00AA47CE" w:rsidRDefault="001F6E7C" w:rsidP="001F6E7C">
      <w:pPr>
        <w:spacing w:after="120"/>
        <w:jc w:val="both"/>
        <w:rPr>
          <w:rFonts w:ascii="Arial" w:hAnsi="Arial" w:cs="Arial"/>
          <w:bCs/>
          <w:sz w:val="20"/>
          <w:szCs w:val="20"/>
        </w:rPr>
      </w:pPr>
      <w:r w:rsidRPr="00AA47CE">
        <w:rPr>
          <w:rFonts w:ascii="Arial" w:hAnsi="Arial" w:cs="Arial"/>
          <w:bCs/>
          <w:sz w:val="20"/>
          <w:szCs w:val="20"/>
        </w:rPr>
        <w:t xml:space="preserve">I dati raccolti via </w:t>
      </w:r>
      <w:r w:rsidRPr="00A74FB0">
        <w:rPr>
          <w:rFonts w:ascii="Arial" w:hAnsi="Arial" w:cs="Arial"/>
          <w:bCs/>
          <w:i/>
          <w:iCs/>
          <w:sz w:val="20"/>
          <w:szCs w:val="20"/>
        </w:rPr>
        <w:t>web</w:t>
      </w:r>
      <w:r w:rsidRPr="00AA47CE">
        <w:rPr>
          <w:rFonts w:ascii="Arial" w:hAnsi="Arial" w:cs="Arial"/>
          <w:bCs/>
          <w:sz w:val="20"/>
          <w:szCs w:val="20"/>
        </w:rPr>
        <w:t xml:space="preserve"> vengono elaborati e validati dall’Istat sulla base di un dettagliato piano di controlli sulla coerenza delle informazioni. I controlli riguardano principalmente la congruità delle spese e degli utenti serviti in relazione ai dati degli anni precedenti e alle dimensioni demografiche degli enti di rilevazione, inoltre occorre valutare la coerenza del rapporto fra spese impegnate e numerosità degli utenti, in relazione al tipo di servizio. Molti dei controlli effettuati in fase di elaborazione sono già stati sottoposti ai rispondenti in fase di compilazione del questionario. Sulla base delle risposte fornite dai rispondenti su ogni specifica anomalia segnalata dall’applicativo, i dati vengono talvolta ritenuti accettabili (entro determinati parametri di normalità), altre volte corretti previo contatto con i referenti o sottoposti a procedure di stima degli utenti o delle spese. Le procedure di stima delle mancate risposte parziali si basano sulle mediane del rapporto fra numero di utenti e valore della spesa per ciascun servizio, calcolate a livello regionale sui dati validati dell’anno precedente.</w:t>
      </w:r>
    </w:p>
    <w:p w14:paraId="33AE6CC6" w14:textId="77777777" w:rsidR="001F6E7C" w:rsidRPr="00AA47CE" w:rsidRDefault="001F6E7C" w:rsidP="001F6E7C">
      <w:pPr>
        <w:spacing w:after="120"/>
        <w:jc w:val="both"/>
        <w:rPr>
          <w:rFonts w:ascii="Arial" w:hAnsi="Arial" w:cs="Arial"/>
          <w:bCs/>
          <w:sz w:val="20"/>
          <w:szCs w:val="20"/>
        </w:rPr>
      </w:pPr>
      <w:r w:rsidRPr="00AA47CE">
        <w:rPr>
          <w:rFonts w:ascii="Arial" w:hAnsi="Arial" w:cs="Arial"/>
          <w:bCs/>
          <w:sz w:val="20"/>
          <w:szCs w:val="20"/>
        </w:rPr>
        <w:t>Le stime per mancate risposte totali sono basate interamente sui dati validati dell’anno precedente.</w:t>
      </w:r>
    </w:p>
    <w:p w14:paraId="458FB63B" w14:textId="77777777" w:rsidR="001F6E7C" w:rsidRPr="00AA47CE" w:rsidRDefault="001F6E7C" w:rsidP="001F6E7C">
      <w:pPr>
        <w:spacing w:after="120"/>
        <w:jc w:val="both"/>
        <w:rPr>
          <w:rFonts w:ascii="Arial" w:hAnsi="Arial" w:cs="Arial"/>
          <w:bCs/>
          <w:sz w:val="20"/>
          <w:szCs w:val="20"/>
        </w:rPr>
      </w:pPr>
      <w:r w:rsidRPr="00AA47CE">
        <w:rPr>
          <w:rFonts w:ascii="Arial" w:hAnsi="Arial" w:cs="Arial"/>
          <w:bCs/>
          <w:sz w:val="20"/>
          <w:szCs w:val="20"/>
        </w:rPr>
        <w:t xml:space="preserve">Dall’anno di riferimento 2013, per arricchire ulteriormente le informazioni rese disponibili in questo settore, tutti i dati raccolti vengono diffusi anche a livello di singolo </w:t>
      </w:r>
      <w:r>
        <w:rPr>
          <w:rFonts w:ascii="Arial" w:hAnsi="Arial" w:cs="Arial"/>
          <w:bCs/>
          <w:sz w:val="20"/>
          <w:szCs w:val="20"/>
        </w:rPr>
        <w:t>C</w:t>
      </w:r>
      <w:r w:rsidRPr="00AA47CE">
        <w:rPr>
          <w:rFonts w:ascii="Arial" w:hAnsi="Arial" w:cs="Arial"/>
          <w:bCs/>
          <w:sz w:val="20"/>
          <w:szCs w:val="20"/>
        </w:rPr>
        <w:t xml:space="preserve">omune, attraverso il </w:t>
      </w:r>
      <w:r w:rsidRPr="00A74FB0">
        <w:rPr>
          <w:rFonts w:ascii="Arial" w:hAnsi="Arial" w:cs="Arial"/>
          <w:bCs/>
          <w:i/>
          <w:iCs/>
          <w:sz w:val="20"/>
          <w:szCs w:val="20"/>
        </w:rPr>
        <w:t xml:space="preserve">data </w:t>
      </w:r>
      <w:proofErr w:type="spellStart"/>
      <w:r w:rsidRPr="00A74FB0">
        <w:rPr>
          <w:rFonts w:ascii="Arial" w:hAnsi="Arial" w:cs="Arial"/>
          <w:bCs/>
          <w:i/>
          <w:iCs/>
          <w:sz w:val="20"/>
          <w:szCs w:val="20"/>
        </w:rPr>
        <w:t>warehouse</w:t>
      </w:r>
      <w:proofErr w:type="spellEnd"/>
      <w:r w:rsidRPr="00AA47CE">
        <w:rPr>
          <w:rFonts w:ascii="Arial" w:hAnsi="Arial" w:cs="Arial"/>
          <w:bCs/>
          <w:sz w:val="20"/>
          <w:szCs w:val="20"/>
        </w:rPr>
        <w:t xml:space="preserve"> </w:t>
      </w:r>
      <w:proofErr w:type="spellStart"/>
      <w:r w:rsidRPr="00AA47CE">
        <w:rPr>
          <w:rFonts w:ascii="Arial" w:hAnsi="Arial" w:cs="Arial"/>
          <w:bCs/>
          <w:sz w:val="20"/>
          <w:szCs w:val="20"/>
        </w:rPr>
        <w:t>I.stat</w:t>
      </w:r>
      <w:proofErr w:type="spellEnd"/>
      <w:r w:rsidRPr="00AA47CE">
        <w:rPr>
          <w:rFonts w:ascii="Arial" w:hAnsi="Arial" w:cs="Arial"/>
          <w:bCs/>
          <w:sz w:val="20"/>
          <w:szCs w:val="20"/>
        </w:rPr>
        <w:t xml:space="preserve">. </w:t>
      </w:r>
    </w:p>
    <w:p w14:paraId="354ED3A8" w14:textId="77777777" w:rsidR="001F6E7C" w:rsidRPr="00AA47CE" w:rsidRDefault="001F6E7C" w:rsidP="001F6E7C">
      <w:pPr>
        <w:spacing w:after="120"/>
        <w:jc w:val="both"/>
        <w:rPr>
          <w:rFonts w:ascii="Arial" w:hAnsi="Arial" w:cs="Arial"/>
          <w:bCs/>
          <w:sz w:val="20"/>
          <w:szCs w:val="20"/>
        </w:rPr>
      </w:pPr>
      <w:r w:rsidRPr="00AA47CE">
        <w:rPr>
          <w:rFonts w:ascii="Arial" w:hAnsi="Arial" w:cs="Arial"/>
          <w:bCs/>
          <w:sz w:val="20"/>
          <w:szCs w:val="20"/>
        </w:rPr>
        <w:t xml:space="preserve">A causa della natura associativa del fenomeno, per raggiungere il livello di disaggregazione comunale è stato necessario introdurre una componente di stima. I dati raccolti presso gli enti associativi sovracomunali sono stati quindi ricondotti ai singoli </w:t>
      </w:r>
      <w:r>
        <w:rPr>
          <w:rFonts w:ascii="Arial" w:hAnsi="Arial" w:cs="Arial"/>
          <w:bCs/>
          <w:sz w:val="20"/>
          <w:szCs w:val="20"/>
        </w:rPr>
        <w:t>Comuni</w:t>
      </w:r>
      <w:r w:rsidRPr="00AA47CE">
        <w:rPr>
          <w:rFonts w:ascii="Arial" w:hAnsi="Arial" w:cs="Arial"/>
          <w:bCs/>
          <w:sz w:val="20"/>
          <w:szCs w:val="20"/>
        </w:rPr>
        <w:t xml:space="preserve"> che ne fanno parte attraverso apposite procedure statistiche, che ripartiscono gli utenti e le spese degli enti associativi in misura proporzionale alla popolazione residente di ciascun comune. La popolazione di riferimento è specifica per ogni area di utenza e talvolta per ogni tipologia di servizio, ad esempio per gli asili nido si utilizzano i residenti di 0-2 anni di età, mentre per i servizi rivolti agli anziani si utilizza la popolazione residente di 65 anni e oltre.</w:t>
      </w:r>
      <w:r>
        <w:rPr>
          <w:rFonts w:ascii="Arial" w:hAnsi="Arial" w:cs="Arial"/>
          <w:bCs/>
          <w:sz w:val="20"/>
          <w:szCs w:val="20"/>
        </w:rPr>
        <w:t xml:space="preserve"> </w:t>
      </w:r>
      <w:r w:rsidRPr="00AA47CE">
        <w:rPr>
          <w:rFonts w:ascii="Arial" w:hAnsi="Arial" w:cs="Arial"/>
          <w:bCs/>
          <w:sz w:val="20"/>
          <w:szCs w:val="20"/>
        </w:rPr>
        <w:t xml:space="preserve">I dati riferiti ai </w:t>
      </w:r>
      <w:r>
        <w:rPr>
          <w:rFonts w:ascii="Arial" w:hAnsi="Arial" w:cs="Arial"/>
          <w:bCs/>
          <w:sz w:val="20"/>
          <w:szCs w:val="20"/>
        </w:rPr>
        <w:t>Comuni</w:t>
      </w:r>
      <w:r w:rsidRPr="00AA47CE">
        <w:rPr>
          <w:rFonts w:ascii="Arial" w:hAnsi="Arial" w:cs="Arial"/>
          <w:bCs/>
          <w:sz w:val="20"/>
          <w:szCs w:val="20"/>
        </w:rPr>
        <w:t xml:space="preserve">, pertanto, sono ottenuti sommando i dati rilevati direttamente presso i </w:t>
      </w:r>
      <w:r>
        <w:rPr>
          <w:rFonts w:ascii="Arial" w:hAnsi="Arial" w:cs="Arial"/>
          <w:bCs/>
          <w:sz w:val="20"/>
          <w:szCs w:val="20"/>
        </w:rPr>
        <w:t>Comuni</w:t>
      </w:r>
      <w:r w:rsidRPr="00AA47CE">
        <w:rPr>
          <w:rFonts w:ascii="Arial" w:hAnsi="Arial" w:cs="Arial"/>
          <w:bCs/>
          <w:sz w:val="20"/>
          <w:szCs w:val="20"/>
        </w:rPr>
        <w:t xml:space="preserve"> a quelli provenienti dagli enti associativi di appartenenza.</w:t>
      </w:r>
    </w:p>
    <w:p w14:paraId="2C1AAA80" w14:textId="2E294E88" w:rsidR="001F6E7C" w:rsidRDefault="001F6E7C" w:rsidP="001F6E7C">
      <w:pPr>
        <w:spacing w:after="120"/>
        <w:jc w:val="both"/>
        <w:rPr>
          <w:rFonts w:ascii="Arial" w:hAnsi="Arial" w:cs="Arial"/>
          <w:bCs/>
          <w:sz w:val="20"/>
          <w:szCs w:val="20"/>
        </w:rPr>
      </w:pPr>
      <w:r w:rsidRPr="00AA47CE">
        <w:rPr>
          <w:rFonts w:ascii="Arial" w:hAnsi="Arial" w:cs="Arial"/>
          <w:bCs/>
          <w:sz w:val="20"/>
          <w:szCs w:val="20"/>
        </w:rPr>
        <w:t xml:space="preserve">Nei dati diffusi sul </w:t>
      </w:r>
      <w:r w:rsidRPr="00A74FB0">
        <w:rPr>
          <w:rFonts w:ascii="Arial" w:hAnsi="Arial" w:cs="Arial"/>
          <w:bCs/>
          <w:i/>
          <w:iCs/>
          <w:sz w:val="20"/>
          <w:szCs w:val="20"/>
        </w:rPr>
        <w:t xml:space="preserve">data </w:t>
      </w:r>
      <w:proofErr w:type="spellStart"/>
      <w:r w:rsidRPr="00A74FB0">
        <w:rPr>
          <w:rFonts w:ascii="Arial" w:hAnsi="Arial" w:cs="Arial"/>
          <w:bCs/>
          <w:i/>
          <w:iCs/>
          <w:sz w:val="20"/>
          <w:szCs w:val="20"/>
        </w:rPr>
        <w:t>warehouse</w:t>
      </w:r>
      <w:proofErr w:type="spellEnd"/>
      <w:r w:rsidRPr="00AA47CE">
        <w:rPr>
          <w:rFonts w:ascii="Arial" w:hAnsi="Arial" w:cs="Arial"/>
          <w:bCs/>
          <w:sz w:val="20"/>
          <w:szCs w:val="20"/>
        </w:rPr>
        <w:t xml:space="preserve"> </w:t>
      </w:r>
      <w:proofErr w:type="spellStart"/>
      <w:r w:rsidRPr="00AA47CE">
        <w:rPr>
          <w:rFonts w:ascii="Arial" w:hAnsi="Arial" w:cs="Arial"/>
          <w:bCs/>
          <w:sz w:val="20"/>
          <w:szCs w:val="20"/>
        </w:rPr>
        <w:t>I.stat</w:t>
      </w:r>
      <w:proofErr w:type="spellEnd"/>
      <w:r w:rsidRPr="00AA47CE">
        <w:rPr>
          <w:rFonts w:ascii="Arial" w:hAnsi="Arial" w:cs="Arial"/>
          <w:bCs/>
          <w:sz w:val="20"/>
          <w:szCs w:val="20"/>
        </w:rPr>
        <w:t xml:space="preserve"> è disponibile, per ciascun </w:t>
      </w:r>
      <w:r>
        <w:rPr>
          <w:rFonts w:ascii="Arial" w:hAnsi="Arial" w:cs="Arial"/>
          <w:bCs/>
          <w:sz w:val="20"/>
          <w:szCs w:val="20"/>
        </w:rPr>
        <w:t>C</w:t>
      </w:r>
      <w:r w:rsidRPr="00AA47CE">
        <w:rPr>
          <w:rFonts w:ascii="Arial" w:hAnsi="Arial" w:cs="Arial"/>
          <w:bCs/>
          <w:sz w:val="20"/>
          <w:szCs w:val="20"/>
        </w:rPr>
        <w:t xml:space="preserve">omune e per ciascuna tipologia di spesa riportata, l’informazione sulla quota di spesa stimata, ovvero attribuita al </w:t>
      </w:r>
      <w:r>
        <w:rPr>
          <w:rFonts w:ascii="Arial" w:hAnsi="Arial" w:cs="Arial"/>
          <w:bCs/>
          <w:sz w:val="20"/>
          <w:szCs w:val="20"/>
        </w:rPr>
        <w:t>C</w:t>
      </w:r>
      <w:r w:rsidRPr="00AA47CE">
        <w:rPr>
          <w:rFonts w:ascii="Arial" w:hAnsi="Arial" w:cs="Arial"/>
          <w:bCs/>
          <w:sz w:val="20"/>
          <w:szCs w:val="20"/>
        </w:rPr>
        <w:t>omune per competenza territoriale ma gestita da uno o più enti associativi di appartenenza</w:t>
      </w:r>
    </w:p>
    <w:p w14:paraId="01B67A52" w14:textId="77777777" w:rsidR="002838D6" w:rsidRDefault="002838D6" w:rsidP="001F6E7C">
      <w:pPr>
        <w:spacing w:after="120"/>
        <w:jc w:val="both"/>
        <w:rPr>
          <w:rFonts w:ascii="Arial" w:hAnsi="Arial" w:cs="Arial"/>
          <w:bCs/>
          <w:sz w:val="20"/>
          <w:szCs w:val="20"/>
        </w:rPr>
      </w:pPr>
    </w:p>
    <w:p w14:paraId="160BBB82" w14:textId="77777777" w:rsidR="001F6E7C" w:rsidRPr="00BD57C9" w:rsidRDefault="001F6E7C" w:rsidP="001F6E7C">
      <w:pPr>
        <w:spacing w:after="120"/>
        <w:jc w:val="both"/>
        <w:rPr>
          <w:rFonts w:ascii="Arial" w:hAnsi="Arial" w:cs="Arial"/>
          <w:b/>
          <w:bCs/>
          <w:color w:val="1F497D" w:themeColor="text2"/>
          <w:sz w:val="22"/>
          <w:szCs w:val="22"/>
        </w:rPr>
      </w:pPr>
      <w:r w:rsidRPr="00BD57C9">
        <w:rPr>
          <w:rFonts w:ascii="Arial" w:hAnsi="Arial" w:cs="Arial"/>
          <w:b/>
          <w:bCs/>
          <w:color w:val="1F497D" w:themeColor="text2"/>
          <w:sz w:val="22"/>
          <w:szCs w:val="22"/>
        </w:rPr>
        <w:t xml:space="preserve">La diffusione dei dati dell’indagine </w:t>
      </w:r>
    </w:p>
    <w:p w14:paraId="5B2516E2" w14:textId="5E54EE14" w:rsidR="001F6E7C" w:rsidRPr="00AA47CE" w:rsidRDefault="001F6E7C" w:rsidP="001F6E7C">
      <w:pPr>
        <w:spacing w:after="120"/>
        <w:jc w:val="both"/>
        <w:rPr>
          <w:rFonts w:ascii="Arial" w:hAnsi="Arial" w:cs="Arial"/>
          <w:bCs/>
          <w:sz w:val="20"/>
          <w:szCs w:val="20"/>
        </w:rPr>
      </w:pPr>
      <w:r w:rsidRPr="00BD57C9">
        <w:rPr>
          <w:rFonts w:ascii="Arial" w:hAnsi="Arial" w:cs="Arial"/>
          <w:bCs/>
          <w:sz w:val="20"/>
          <w:szCs w:val="20"/>
        </w:rPr>
        <w:t xml:space="preserve">I dati raccolti con l’indagine vengono diffusi annualmente dall’Istat attraverso il </w:t>
      </w:r>
      <w:r w:rsidRPr="00BD57C9">
        <w:rPr>
          <w:rFonts w:ascii="Arial" w:hAnsi="Arial" w:cs="Arial"/>
          <w:bCs/>
          <w:i/>
          <w:iCs/>
          <w:sz w:val="20"/>
          <w:szCs w:val="20"/>
        </w:rPr>
        <w:t xml:space="preserve">data </w:t>
      </w:r>
      <w:proofErr w:type="spellStart"/>
      <w:r w:rsidRPr="00BD57C9">
        <w:rPr>
          <w:rFonts w:ascii="Arial" w:hAnsi="Arial" w:cs="Arial"/>
          <w:bCs/>
          <w:i/>
          <w:iCs/>
          <w:sz w:val="20"/>
          <w:szCs w:val="20"/>
        </w:rPr>
        <w:t>warehouse</w:t>
      </w:r>
      <w:proofErr w:type="spellEnd"/>
      <w:r w:rsidRPr="00BD57C9">
        <w:rPr>
          <w:rFonts w:ascii="Arial" w:hAnsi="Arial" w:cs="Arial"/>
          <w:bCs/>
          <w:sz w:val="20"/>
          <w:szCs w:val="20"/>
        </w:rPr>
        <w:t xml:space="preserve"> </w:t>
      </w:r>
      <w:proofErr w:type="spellStart"/>
      <w:r w:rsidRPr="00BD57C9">
        <w:rPr>
          <w:rFonts w:ascii="Arial" w:hAnsi="Arial" w:cs="Arial"/>
          <w:bCs/>
          <w:sz w:val="20"/>
          <w:szCs w:val="20"/>
        </w:rPr>
        <w:t>Istat</w:t>
      </w:r>
      <w:r w:rsidR="004F5B74" w:rsidRPr="00BD57C9">
        <w:rPr>
          <w:rFonts w:ascii="Arial" w:hAnsi="Arial" w:cs="Arial"/>
          <w:bCs/>
          <w:sz w:val="20"/>
          <w:szCs w:val="20"/>
        </w:rPr>
        <w:t>Data</w:t>
      </w:r>
      <w:proofErr w:type="spellEnd"/>
      <w:r w:rsidRPr="00BD57C9">
        <w:rPr>
          <w:rFonts w:ascii="Arial" w:hAnsi="Arial" w:cs="Arial"/>
          <w:bCs/>
          <w:sz w:val="20"/>
          <w:szCs w:val="20"/>
        </w:rPr>
        <w:t>. I dati sono disponibili per singolo comune, per Ambito Territoriale sociale (ATS), per provincia, per regione e per ripartizione geografica.</w:t>
      </w:r>
    </w:p>
    <w:p w14:paraId="38EBBFD5" w14:textId="70E4BF1C" w:rsidR="001F6E7C" w:rsidRPr="00AA47CE" w:rsidRDefault="001F6E7C" w:rsidP="001F6E7C">
      <w:pPr>
        <w:spacing w:after="120"/>
        <w:jc w:val="both"/>
        <w:rPr>
          <w:rFonts w:ascii="Arial" w:hAnsi="Arial" w:cs="Arial"/>
          <w:bCs/>
          <w:sz w:val="20"/>
          <w:szCs w:val="20"/>
        </w:rPr>
      </w:pPr>
      <w:r w:rsidRPr="00AA47CE">
        <w:rPr>
          <w:rFonts w:ascii="Arial" w:hAnsi="Arial" w:cs="Arial"/>
          <w:bCs/>
          <w:sz w:val="20"/>
          <w:szCs w:val="20"/>
        </w:rPr>
        <w:t xml:space="preserve">Una serie di tavole statistiche aggregate per regione e ripartizione geografica </w:t>
      </w:r>
      <w:r w:rsidR="000523A3" w:rsidRPr="00AA47CE">
        <w:rPr>
          <w:rFonts w:ascii="Arial" w:hAnsi="Arial" w:cs="Arial"/>
          <w:bCs/>
          <w:sz w:val="20"/>
          <w:szCs w:val="20"/>
        </w:rPr>
        <w:t>accompagna inoltre</w:t>
      </w:r>
      <w:r w:rsidRPr="00AA47CE">
        <w:rPr>
          <w:rFonts w:ascii="Arial" w:hAnsi="Arial" w:cs="Arial"/>
          <w:bCs/>
          <w:sz w:val="20"/>
          <w:szCs w:val="20"/>
        </w:rPr>
        <w:t xml:space="preserve"> la statistica report diffusa sull’argomento.  </w:t>
      </w:r>
    </w:p>
    <w:p w14:paraId="472B1F27" w14:textId="12847C80" w:rsidR="001F6E7C" w:rsidRDefault="001F6E7C" w:rsidP="001F6E7C">
      <w:pPr>
        <w:spacing w:after="120"/>
        <w:jc w:val="both"/>
        <w:rPr>
          <w:rFonts w:ascii="Arial" w:hAnsi="Arial" w:cs="Arial"/>
          <w:bCs/>
          <w:sz w:val="20"/>
          <w:szCs w:val="20"/>
        </w:rPr>
      </w:pPr>
      <w:r w:rsidRPr="00AA47CE">
        <w:rPr>
          <w:rFonts w:ascii="Arial" w:hAnsi="Arial" w:cs="Arial"/>
          <w:bCs/>
          <w:sz w:val="20"/>
          <w:szCs w:val="20"/>
        </w:rPr>
        <w:t xml:space="preserve">Alcuni indicatori tratti dall’indagine sono </w:t>
      </w:r>
      <w:r w:rsidR="000523A3" w:rsidRPr="00AA47CE">
        <w:rPr>
          <w:rFonts w:ascii="Arial" w:hAnsi="Arial" w:cs="Arial"/>
          <w:bCs/>
          <w:sz w:val="20"/>
          <w:szCs w:val="20"/>
        </w:rPr>
        <w:t>consultabili, infine,</w:t>
      </w:r>
      <w:r w:rsidRPr="00AA47CE">
        <w:rPr>
          <w:rFonts w:ascii="Arial" w:hAnsi="Arial" w:cs="Arial"/>
          <w:bCs/>
          <w:sz w:val="20"/>
          <w:szCs w:val="20"/>
        </w:rPr>
        <w:t xml:space="preserve"> nell’ambito di vari sistemi tematici: Noi Italia, </w:t>
      </w:r>
      <w:r>
        <w:rPr>
          <w:rFonts w:ascii="Arial" w:hAnsi="Arial" w:cs="Arial"/>
          <w:bCs/>
          <w:sz w:val="20"/>
          <w:szCs w:val="20"/>
        </w:rPr>
        <w:t>Disabilità in cifre</w:t>
      </w:r>
      <w:r w:rsidRPr="00AA47CE">
        <w:rPr>
          <w:rFonts w:ascii="Arial" w:hAnsi="Arial" w:cs="Arial"/>
          <w:bCs/>
          <w:sz w:val="20"/>
          <w:szCs w:val="20"/>
        </w:rPr>
        <w:t>.</w:t>
      </w:r>
      <w:r w:rsidRPr="002261D9">
        <w:rPr>
          <w:rFonts w:ascii="Arial" w:hAnsi="Arial" w:cs="Arial"/>
          <w:bCs/>
          <w:sz w:val="20"/>
          <w:szCs w:val="20"/>
        </w:rPr>
        <w:t xml:space="preserve"> </w:t>
      </w:r>
    </w:p>
    <w:p w14:paraId="7A17849F" w14:textId="77777777" w:rsidR="00BF6008" w:rsidRPr="002261D9" w:rsidRDefault="00BF6008" w:rsidP="001F6E7C">
      <w:pPr>
        <w:spacing w:after="120"/>
        <w:jc w:val="both"/>
        <w:rPr>
          <w:rFonts w:ascii="Arial" w:hAnsi="Arial" w:cs="Arial"/>
          <w:bCs/>
          <w:sz w:val="20"/>
          <w:szCs w:val="20"/>
        </w:rPr>
      </w:pPr>
    </w:p>
    <w:p w14:paraId="5C56EDAA" w14:textId="77777777" w:rsidR="001F6E7C" w:rsidRPr="000217F7" w:rsidRDefault="001F6E7C" w:rsidP="001F6E7C">
      <w:pPr>
        <w:spacing w:after="120"/>
        <w:jc w:val="both"/>
        <w:rPr>
          <w:rFonts w:ascii="Arial" w:hAnsi="Arial" w:cs="Arial"/>
          <w:b/>
          <w:bCs/>
          <w:color w:val="1F497D" w:themeColor="text2"/>
          <w:sz w:val="22"/>
          <w:szCs w:val="22"/>
        </w:rPr>
      </w:pPr>
      <w:r w:rsidRPr="000217F7">
        <w:rPr>
          <w:rFonts w:ascii="Arial" w:hAnsi="Arial" w:cs="Arial"/>
          <w:b/>
          <w:bCs/>
          <w:color w:val="1F497D" w:themeColor="text2"/>
          <w:sz w:val="22"/>
          <w:szCs w:val="22"/>
        </w:rPr>
        <w:t>Banche dati e sistemi tematici</w:t>
      </w:r>
    </w:p>
    <w:p w14:paraId="0DE86C13" w14:textId="77777777" w:rsidR="001F6E7C" w:rsidRPr="000217F7" w:rsidRDefault="001F6E7C" w:rsidP="001F6E7C">
      <w:pPr>
        <w:spacing w:after="120"/>
        <w:jc w:val="both"/>
        <w:rPr>
          <w:rFonts w:ascii="Arial" w:hAnsi="Arial" w:cs="Arial"/>
          <w:bCs/>
          <w:sz w:val="20"/>
          <w:szCs w:val="20"/>
        </w:rPr>
      </w:pPr>
      <w:r w:rsidRPr="000217F7">
        <w:rPr>
          <w:rFonts w:ascii="Arial" w:hAnsi="Arial" w:cs="Arial"/>
          <w:bCs/>
          <w:sz w:val="20"/>
          <w:szCs w:val="20"/>
        </w:rPr>
        <w:t xml:space="preserve">I.STAT: il datawarehouse dell’ISTAT: </w:t>
      </w:r>
      <w:hyperlink r:id="rId24" w:history="1">
        <w:r w:rsidRPr="00FE7435">
          <w:rPr>
            <w:rStyle w:val="Collegamentoipertestuale"/>
            <w:rFonts w:ascii="Arial" w:hAnsi="Arial" w:cs="Arial"/>
            <w:bCs/>
            <w:sz w:val="20"/>
            <w:szCs w:val="20"/>
          </w:rPr>
          <w:t>http://dati.istat.it/</w:t>
        </w:r>
      </w:hyperlink>
    </w:p>
    <w:p w14:paraId="2886DC29" w14:textId="77777777" w:rsidR="001F6E7C" w:rsidRDefault="001F6E7C" w:rsidP="001F6E7C">
      <w:pPr>
        <w:spacing w:after="120"/>
        <w:jc w:val="both"/>
        <w:rPr>
          <w:rStyle w:val="Collegamentoipertestuale"/>
          <w:rFonts w:ascii="Arial" w:hAnsi="Arial" w:cs="Arial"/>
          <w:bCs/>
          <w:sz w:val="20"/>
          <w:szCs w:val="20"/>
        </w:rPr>
      </w:pPr>
      <w:proofErr w:type="spellStart"/>
      <w:r w:rsidRPr="000217F7">
        <w:rPr>
          <w:rFonts w:ascii="Arial" w:hAnsi="Arial" w:cs="Arial"/>
          <w:bCs/>
          <w:sz w:val="20"/>
          <w:szCs w:val="20"/>
        </w:rPr>
        <w:t>PubblicaAmministrazione.Stat</w:t>
      </w:r>
      <w:proofErr w:type="spellEnd"/>
      <w:r w:rsidRPr="000217F7">
        <w:rPr>
          <w:rFonts w:ascii="Arial" w:hAnsi="Arial" w:cs="Arial"/>
          <w:bCs/>
          <w:sz w:val="20"/>
          <w:szCs w:val="20"/>
        </w:rPr>
        <w:t xml:space="preserve">: </w:t>
      </w:r>
      <w:hyperlink r:id="rId25" w:history="1">
        <w:r w:rsidRPr="00FE7435">
          <w:rPr>
            <w:rStyle w:val="Collegamentoipertestuale"/>
            <w:rFonts w:ascii="Arial" w:hAnsi="Arial" w:cs="Arial"/>
            <w:bCs/>
            <w:sz w:val="20"/>
            <w:szCs w:val="20"/>
          </w:rPr>
          <w:t>http://dati.statistiche-pa.it/</w:t>
        </w:r>
      </w:hyperlink>
    </w:p>
    <w:p w14:paraId="58B8E0C4" w14:textId="77777777" w:rsidR="001F6E7C" w:rsidRDefault="001F6E7C" w:rsidP="001F6E7C">
      <w:pPr>
        <w:spacing w:after="120"/>
        <w:jc w:val="both"/>
        <w:rPr>
          <w:rStyle w:val="Collegamentoipertestuale"/>
          <w:rFonts w:ascii="Arial" w:hAnsi="Arial" w:cs="Arial"/>
          <w:bCs/>
          <w:sz w:val="20"/>
          <w:szCs w:val="20"/>
        </w:rPr>
      </w:pPr>
      <w:r w:rsidRPr="008B6A68">
        <w:rPr>
          <w:rFonts w:ascii="Arial" w:hAnsi="Arial" w:cs="Arial"/>
          <w:bCs/>
          <w:sz w:val="20"/>
          <w:szCs w:val="20"/>
        </w:rPr>
        <w:t>Statistiche Territoriali per le Politiche di Sviluppo</w:t>
      </w:r>
      <w:r>
        <w:rPr>
          <w:rFonts w:ascii="Arial" w:hAnsi="Arial" w:cs="Arial"/>
          <w:bCs/>
          <w:sz w:val="20"/>
          <w:szCs w:val="20"/>
        </w:rPr>
        <w:t xml:space="preserve">: </w:t>
      </w:r>
      <w:r>
        <w:rPr>
          <w:rStyle w:val="Collegamentoipertestuale"/>
          <w:rFonts w:ascii="Arial" w:hAnsi="Arial" w:cs="Arial"/>
          <w:bCs/>
          <w:sz w:val="20"/>
          <w:szCs w:val="20"/>
        </w:rPr>
        <w:t xml:space="preserve"> </w:t>
      </w:r>
      <w:hyperlink r:id="rId26" w:history="1">
        <w:r w:rsidRPr="00701A2D">
          <w:rPr>
            <w:rStyle w:val="Collegamentoipertestuale"/>
            <w:rFonts w:ascii="Arial" w:hAnsi="Arial" w:cs="Arial"/>
            <w:bCs/>
            <w:sz w:val="20"/>
            <w:szCs w:val="20"/>
          </w:rPr>
          <w:t>https://www.istat.it/it/statistiche-politiche-sviluppo</w:t>
        </w:r>
      </w:hyperlink>
    </w:p>
    <w:p w14:paraId="1E5A66BF" w14:textId="28A6A6F8" w:rsidR="002838D6" w:rsidRDefault="001F6E7C" w:rsidP="001F6E7C">
      <w:pPr>
        <w:spacing w:after="120"/>
        <w:jc w:val="both"/>
        <w:rPr>
          <w:rStyle w:val="Collegamentoipertestuale"/>
          <w:rFonts w:ascii="Arial" w:hAnsi="Arial" w:cs="Arial"/>
          <w:bCs/>
          <w:sz w:val="20"/>
          <w:szCs w:val="20"/>
        </w:rPr>
      </w:pPr>
      <w:r>
        <w:rPr>
          <w:rFonts w:ascii="Arial" w:hAnsi="Arial" w:cs="Arial"/>
          <w:bCs/>
          <w:sz w:val="20"/>
          <w:szCs w:val="20"/>
        </w:rPr>
        <w:t>Disabilità in cifre:</w:t>
      </w:r>
      <w:r w:rsidRPr="008B6A68">
        <w:rPr>
          <w:rFonts w:ascii="Arial" w:hAnsi="Arial" w:cs="Arial"/>
          <w:bCs/>
          <w:sz w:val="20"/>
          <w:szCs w:val="20"/>
        </w:rPr>
        <w:t xml:space="preserve"> </w:t>
      </w:r>
      <w:hyperlink r:id="rId27" w:history="1">
        <w:r w:rsidR="002838D6" w:rsidRPr="0031174F">
          <w:rPr>
            <w:rStyle w:val="Collegamentoipertestuale"/>
            <w:rFonts w:ascii="Arial" w:hAnsi="Arial" w:cs="Arial"/>
            <w:bCs/>
            <w:sz w:val="20"/>
            <w:szCs w:val="20"/>
          </w:rPr>
          <w:t>https://disabilitaincifre.istat.it/dawinciMD.jsp</w:t>
        </w:r>
      </w:hyperlink>
    </w:p>
    <w:p w14:paraId="25157849" w14:textId="2DC946C7" w:rsidR="002838D6" w:rsidRDefault="002838D6" w:rsidP="001F6E7C">
      <w:pPr>
        <w:spacing w:after="120"/>
        <w:jc w:val="both"/>
        <w:rPr>
          <w:rStyle w:val="Collegamentoipertestuale"/>
          <w:rFonts w:ascii="Arial" w:hAnsi="Arial" w:cs="Arial"/>
          <w:bCs/>
          <w:sz w:val="20"/>
          <w:szCs w:val="20"/>
        </w:rPr>
      </w:pPr>
    </w:p>
    <w:p w14:paraId="0D97AAAF" w14:textId="73507D05" w:rsidR="0025480B" w:rsidRDefault="002838D6" w:rsidP="00E34508">
      <w:pPr>
        <w:spacing w:after="120"/>
        <w:jc w:val="both"/>
      </w:pPr>
      <w:r w:rsidRPr="0007346F">
        <w:rPr>
          <w:rFonts w:ascii="Georgia" w:hAnsi="Georgia" w:cs="Arial"/>
          <w:color w:val="1F497D" w:themeColor="text2"/>
          <w:sz w:val="48"/>
          <w:szCs w:val="48"/>
        </w:rPr>
        <w:t>Not</w:t>
      </w:r>
      <w:r>
        <w:rPr>
          <w:rFonts w:ascii="Georgia" w:hAnsi="Georgia" w:cs="Arial"/>
          <w:color w:val="1F497D" w:themeColor="text2"/>
          <w:sz w:val="48"/>
          <w:szCs w:val="48"/>
        </w:rPr>
        <w:t>e</w:t>
      </w:r>
    </w:p>
    <w:sectPr w:rsidR="0025480B" w:rsidSect="00BF6008">
      <w:footerReference w:type="default" r:id="rId28"/>
      <w:pgSz w:w="11906" w:h="16838" w:code="9"/>
      <w:pgMar w:top="567" w:right="992" w:bottom="714" w:left="992" w:header="0" w:footer="0" w:gutter="0"/>
      <w:cols w:space="43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CE4481" w14:textId="77777777" w:rsidR="0052079E" w:rsidRDefault="0052079E">
      <w:r>
        <w:separator/>
      </w:r>
    </w:p>
  </w:endnote>
  <w:endnote w:type="continuationSeparator" w:id="0">
    <w:p w14:paraId="1318B674" w14:textId="77777777" w:rsidR="0052079E" w:rsidRDefault="0052079E">
      <w:r>
        <w:continuationSeparator/>
      </w:r>
    </w:p>
  </w:endnote>
  <w:endnote w:id="1">
    <w:p w14:paraId="0C41899D" w14:textId="633AEB1A" w:rsidR="00EE139B" w:rsidRDefault="00EE139B" w:rsidP="00F73E2D">
      <w:pPr>
        <w:autoSpaceDE w:val="0"/>
        <w:autoSpaceDN w:val="0"/>
        <w:adjustRightInd w:val="0"/>
        <w:spacing w:after="120"/>
        <w:jc w:val="both"/>
      </w:pPr>
      <w:r w:rsidRPr="00F73E2D">
        <w:rPr>
          <w:rStyle w:val="Rimandonotadichiusura"/>
        </w:rPr>
        <w:endnoteRef/>
      </w:r>
      <w:r w:rsidRPr="00F73E2D">
        <w:t xml:space="preserve"> </w:t>
      </w:r>
      <w:r w:rsidRPr="009823D9">
        <w:rPr>
          <w:rFonts w:ascii="Arial" w:hAnsi="Arial" w:cs="Arial"/>
          <w:sz w:val="16"/>
          <w:szCs w:val="16"/>
        </w:rPr>
        <w:t>I Livelli Essenziali delle Prestazioni Sociali sono costituiti dagli interventi, dai </w:t>
      </w:r>
      <w:r w:rsidRPr="009823D9">
        <w:rPr>
          <w:rFonts w:ascii="Arial" w:hAnsi="Arial" w:cs="Arial"/>
          <w:bCs/>
          <w:sz w:val="16"/>
          <w:szCs w:val="16"/>
        </w:rPr>
        <w:t>servizi</w:t>
      </w:r>
      <w:r w:rsidRPr="009823D9">
        <w:rPr>
          <w:rFonts w:ascii="Arial" w:hAnsi="Arial" w:cs="Arial"/>
          <w:sz w:val="16"/>
          <w:szCs w:val="16"/>
        </w:rPr>
        <w:t>, dalle</w:t>
      </w:r>
      <w:r>
        <w:rPr>
          <w:rFonts w:ascii="Arial" w:hAnsi="Arial" w:cs="Arial"/>
          <w:sz w:val="16"/>
          <w:szCs w:val="16"/>
        </w:rPr>
        <w:t xml:space="preserve"> </w:t>
      </w:r>
      <w:r w:rsidRPr="009823D9">
        <w:rPr>
          <w:rFonts w:ascii="Arial" w:hAnsi="Arial" w:cs="Arial"/>
          <w:bCs/>
          <w:sz w:val="16"/>
          <w:szCs w:val="16"/>
        </w:rPr>
        <w:t>attività</w:t>
      </w:r>
      <w:r>
        <w:rPr>
          <w:rFonts w:ascii="Arial" w:hAnsi="Arial" w:cs="Arial"/>
          <w:sz w:val="16"/>
          <w:szCs w:val="16"/>
        </w:rPr>
        <w:t xml:space="preserve"> </w:t>
      </w:r>
      <w:r w:rsidRPr="009823D9">
        <w:rPr>
          <w:rFonts w:ascii="Arial" w:hAnsi="Arial" w:cs="Arial"/>
          <w:sz w:val="16"/>
          <w:szCs w:val="16"/>
        </w:rPr>
        <w:t>e dalle</w:t>
      </w:r>
      <w:r>
        <w:rPr>
          <w:rFonts w:ascii="Arial" w:hAnsi="Arial" w:cs="Arial"/>
          <w:sz w:val="16"/>
          <w:szCs w:val="16"/>
        </w:rPr>
        <w:t xml:space="preserve"> </w:t>
      </w:r>
      <w:r w:rsidRPr="009823D9">
        <w:rPr>
          <w:rFonts w:ascii="Arial" w:hAnsi="Arial" w:cs="Arial"/>
          <w:bCs/>
          <w:sz w:val="16"/>
          <w:szCs w:val="16"/>
        </w:rPr>
        <w:t>prestazioni</w:t>
      </w:r>
      <w:r>
        <w:rPr>
          <w:rFonts w:ascii="Arial" w:hAnsi="Arial" w:cs="Arial"/>
          <w:sz w:val="16"/>
          <w:szCs w:val="16"/>
        </w:rPr>
        <w:t xml:space="preserve"> </w:t>
      </w:r>
      <w:r w:rsidRPr="009823D9">
        <w:rPr>
          <w:rFonts w:ascii="Arial" w:hAnsi="Arial" w:cs="Arial"/>
          <w:sz w:val="16"/>
          <w:szCs w:val="16"/>
        </w:rPr>
        <w:t>integrate che la Repubblica assicura con carattere di universalità su tutto il territorio nazionale</w:t>
      </w:r>
      <w:r>
        <w:rPr>
          <w:rFonts w:ascii="Arial" w:hAnsi="Arial" w:cs="Arial"/>
          <w:sz w:val="16"/>
          <w:szCs w:val="16"/>
        </w:rPr>
        <w:t xml:space="preserve"> </w:t>
      </w:r>
      <w:r w:rsidRPr="009823D9">
        <w:rPr>
          <w:rFonts w:ascii="Arial" w:hAnsi="Arial" w:cs="Arial"/>
          <w:bCs/>
          <w:sz w:val="16"/>
          <w:szCs w:val="16"/>
        </w:rPr>
        <w:t xml:space="preserve">per garantire qualità della vita, pari opportunità, non discriminazione, prevenzione, eliminazione o riduzione delle condizioni di svantaggio e di vulnerabilità. Essi </w:t>
      </w:r>
      <w:r w:rsidRPr="009823D9">
        <w:rPr>
          <w:rFonts w:ascii="Arial" w:hAnsi="Arial" w:cs="Arial"/>
          <w:sz w:val="16"/>
          <w:szCs w:val="16"/>
        </w:rPr>
        <w:t>riguardano</w:t>
      </w:r>
      <w:r>
        <w:rPr>
          <w:rFonts w:ascii="Arial" w:hAnsi="Arial" w:cs="Arial"/>
          <w:sz w:val="16"/>
          <w:szCs w:val="16"/>
        </w:rPr>
        <w:t xml:space="preserve"> </w:t>
      </w:r>
      <w:r w:rsidRPr="009823D9">
        <w:rPr>
          <w:rFonts w:ascii="Arial" w:hAnsi="Arial" w:cs="Arial"/>
          <w:sz w:val="16"/>
          <w:szCs w:val="16"/>
        </w:rPr>
        <w:t xml:space="preserve">diritti civili e sociali </w:t>
      </w:r>
      <w:r w:rsidRPr="00F97BC1">
        <w:rPr>
          <w:rFonts w:ascii="Arial" w:hAnsi="Arial" w:cs="Arial"/>
          <w:sz w:val="16"/>
          <w:szCs w:val="16"/>
        </w:rPr>
        <w:t>per i quali</w:t>
      </w:r>
      <w:r w:rsidRPr="009823D9">
        <w:rPr>
          <w:rFonts w:ascii="Arial" w:hAnsi="Arial" w:cs="Arial"/>
          <w:sz w:val="16"/>
          <w:szCs w:val="16"/>
        </w:rPr>
        <w:t xml:space="preserve"> è prevista l’attribuzione di risorse aggiuntive da parte dello Stato ai territori, co</w:t>
      </w:r>
      <w:r w:rsidRPr="00F97BC1">
        <w:rPr>
          <w:rFonts w:ascii="Arial" w:hAnsi="Arial" w:cs="Arial"/>
          <w:sz w:val="16"/>
          <w:szCs w:val="16"/>
        </w:rPr>
        <w:t>n l’obiettivo di ri</w:t>
      </w:r>
      <w:r w:rsidRPr="009823D9">
        <w:rPr>
          <w:rFonts w:ascii="Arial" w:hAnsi="Arial" w:cs="Arial"/>
          <w:sz w:val="16"/>
          <w:szCs w:val="16"/>
        </w:rPr>
        <w:t xml:space="preserve">durre i divari esistenti. </w:t>
      </w:r>
    </w:p>
  </w:endnote>
  <w:endnote w:id="2">
    <w:p w14:paraId="0ED3EB97" w14:textId="0E55287E" w:rsidR="00EE139B" w:rsidRPr="00D46ECF" w:rsidRDefault="00EE139B" w:rsidP="00A74FB0">
      <w:pPr>
        <w:pStyle w:val="Testonotadichiusura"/>
        <w:spacing w:after="120"/>
        <w:jc w:val="both"/>
        <w:rPr>
          <w:rFonts w:ascii="Arial" w:hAnsi="Arial" w:cs="Arial"/>
          <w:sz w:val="16"/>
          <w:szCs w:val="16"/>
        </w:rPr>
      </w:pPr>
      <w:r>
        <w:rPr>
          <w:rStyle w:val="Rimandonotadichiusura"/>
        </w:rPr>
        <w:endnoteRef/>
      </w:r>
      <w:r>
        <w:t xml:space="preserve"> </w:t>
      </w:r>
      <w:r w:rsidRPr="00D46ECF">
        <w:rPr>
          <w:rFonts w:ascii="Arial" w:hAnsi="Arial" w:cs="Arial"/>
          <w:sz w:val="16"/>
          <w:szCs w:val="16"/>
        </w:rPr>
        <w:t>Offerta di nidi e servizi educativi per la prima infanzia, anno educativo 2021/2022 (</w:t>
      </w:r>
      <w:hyperlink r:id="rId1" w:history="1">
        <w:r w:rsidRPr="00F73E2D">
          <w:rPr>
            <w:rStyle w:val="Collegamentoipertestuale"/>
            <w:rFonts w:ascii="Arial" w:hAnsi="Arial" w:cs="Arial"/>
            <w:sz w:val="16"/>
            <w:szCs w:val="16"/>
          </w:rPr>
          <w:t>https://www.istat.it/it/archivio/291186</w:t>
        </w:r>
      </w:hyperlink>
      <w:r w:rsidRPr="00D46ECF">
        <w:rPr>
          <w:rFonts w:ascii="Arial" w:hAnsi="Arial" w:cs="Arial"/>
          <w:sz w:val="16"/>
          <w:szCs w:val="16"/>
        </w:rPr>
        <w:t>)</w:t>
      </w:r>
      <w:r>
        <w:rPr>
          <w:rFonts w:ascii="Arial" w:hAnsi="Arial" w:cs="Arial"/>
          <w:sz w:val="16"/>
          <w:szCs w:val="16"/>
        </w:rPr>
        <w:t>.</w:t>
      </w:r>
    </w:p>
  </w:endnote>
  <w:endnote w:id="3">
    <w:p w14:paraId="5AA35CB5" w14:textId="665A331D" w:rsidR="00EE139B" w:rsidRDefault="00EE139B" w:rsidP="00A74FB0">
      <w:pPr>
        <w:pStyle w:val="Testonotadichiusura"/>
        <w:spacing w:after="120"/>
        <w:jc w:val="both"/>
      </w:pPr>
      <w:r>
        <w:rPr>
          <w:rStyle w:val="Rimandonotadichiusura"/>
        </w:rPr>
        <w:endnoteRef/>
      </w:r>
      <w:r>
        <w:t xml:space="preserve"> </w:t>
      </w:r>
      <w:r w:rsidRPr="00837AF4">
        <w:rPr>
          <w:rFonts w:ascii="Arial" w:hAnsi="Arial" w:cs="Arial"/>
          <w:sz w:val="16"/>
          <w:szCs w:val="16"/>
        </w:rPr>
        <w:t>Al 31.12.2021 risultano ospiti dei presidi residenziali socio-assistenziali e sociosanitari 19.707 minori, di cui 8.026 stranieri (</w:t>
      </w:r>
      <w:hyperlink r:id="rId2" w:history="1">
        <w:r w:rsidRPr="00173C79">
          <w:rPr>
            <w:rStyle w:val="Collegamentoipertestuale"/>
            <w:rFonts w:ascii="Arial" w:hAnsi="Arial" w:cs="Arial"/>
            <w:sz w:val="16"/>
            <w:szCs w:val="16"/>
          </w:rPr>
          <w:t>https://www.istat.it/it/archivio/290577</w:t>
        </w:r>
      </w:hyperlink>
      <w:r w:rsidRPr="00837AF4">
        <w:rPr>
          <w:rFonts w:ascii="Arial" w:hAnsi="Arial" w:cs="Arial"/>
          <w:sz w:val="16"/>
          <w:szCs w:val="16"/>
        </w:rPr>
        <w:t>).</w:t>
      </w:r>
    </w:p>
  </w:endnote>
  <w:endnote w:id="4">
    <w:p w14:paraId="5CED2F25" w14:textId="2D67C43E" w:rsidR="00EE139B" w:rsidRDefault="00EE139B" w:rsidP="00A74FB0">
      <w:pPr>
        <w:pStyle w:val="Testonotadichiusura"/>
        <w:spacing w:after="120"/>
        <w:jc w:val="both"/>
        <w:rPr>
          <w:rFonts w:ascii="Arial" w:hAnsi="Arial" w:cs="Arial"/>
          <w:bCs/>
          <w:sz w:val="16"/>
          <w:szCs w:val="16"/>
        </w:rPr>
      </w:pPr>
      <w:r>
        <w:rPr>
          <w:rStyle w:val="Rimandonotadichiusura"/>
        </w:rPr>
        <w:endnoteRef/>
      </w:r>
      <w:r>
        <w:t xml:space="preserve"> </w:t>
      </w:r>
      <w:r w:rsidRPr="004200F9">
        <w:rPr>
          <w:rFonts w:ascii="Arial" w:hAnsi="Arial" w:cs="Arial"/>
          <w:bCs/>
          <w:sz w:val="16"/>
          <w:szCs w:val="16"/>
        </w:rPr>
        <w:t xml:space="preserve">Le percentuali illustrate in </w:t>
      </w:r>
      <w:r>
        <w:rPr>
          <w:rFonts w:ascii="Arial" w:hAnsi="Arial" w:cs="Arial"/>
          <w:bCs/>
          <w:sz w:val="16"/>
          <w:szCs w:val="16"/>
        </w:rPr>
        <w:t>F</w:t>
      </w:r>
      <w:r w:rsidRPr="004200F9">
        <w:rPr>
          <w:rFonts w:ascii="Arial" w:hAnsi="Arial" w:cs="Arial"/>
          <w:bCs/>
          <w:sz w:val="16"/>
          <w:szCs w:val="16"/>
        </w:rPr>
        <w:t>igura 3 includono la spesa delle Regioni e delle Province per la gestione degli interventi e servizi sociali.</w:t>
      </w:r>
      <w:r>
        <w:rPr>
          <w:rFonts w:ascii="Arial" w:hAnsi="Arial" w:cs="Arial"/>
          <w:bCs/>
          <w:sz w:val="16"/>
          <w:szCs w:val="16"/>
        </w:rPr>
        <w:t xml:space="preserve"> </w:t>
      </w:r>
      <w:r w:rsidRPr="004200F9">
        <w:rPr>
          <w:rFonts w:ascii="Arial" w:hAnsi="Arial" w:cs="Arial"/>
          <w:bCs/>
          <w:sz w:val="16"/>
          <w:szCs w:val="16"/>
        </w:rPr>
        <w:t>Nella Provincia Autonoma di Trento</w:t>
      </w:r>
      <w:r>
        <w:rPr>
          <w:rFonts w:ascii="Arial" w:hAnsi="Arial" w:cs="Arial"/>
          <w:bCs/>
          <w:sz w:val="16"/>
          <w:szCs w:val="16"/>
        </w:rPr>
        <w:t>, ad esempio,</w:t>
      </w:r>
      <w:r w:rsidRPr="004200F9">
        <w:rPr>
          <w:rFonts w:ascii="Arial" w:hAnsi="Arial" w:cs="Arial"/>
          <w:bCs/>
          <w:sz w:val="16"/>
          <w:szCs w:val="16"/>
        </w:rPr>
        <w:t xml:space="preserve"> la spesa per le strutture residenziali è sostenuta dalla Provincia</w:t>
      </w:r>
      <w:r>
        <w:rPr>
          <w:rFonts w:ascii="Arial" w:hAnsi="Arial" w:cs="Arial"/>
          <w:bCs/>
          <w:sz w:val="16"/>
          <w:szCs w:val="16"/>
        </w:rPr>
        <w:t>.</w:t>
      </w:r>
    </w:p>
    <w:p w14:paraId="55CB3ABA" w14:textId="7B87FFA3" w:rsidR="00EE139B" w:rsidRDefault="00EE139B" w:rsidP="00A74FB0">
      <w:pPr>
        <w:pStyle w:val="Testonotadichiusura"/>
        <w:spacing w:after="120"/>
        <w:jc w:val="both"/>
        <w:rPr>
          <w:rFonts w:ascii="Arial" w:hAnsi="Arial" w:cs="Arial"/>
          <w:bCs/>
          <w:sz w:val="16"/>
          <w:szCs w:val="16"/>
        </w:rPr>
      </w:pPr>
    </w:p>
    <w:p w14:paraId="2B42B4D2" w14:textId="77777777" w:rsidR="00EE139B" w:rsidRDefault="00EE139B" w:rsidP="002B589F">
      <w:pPr>
        <w:spacing w:after="120"/>
        <w:jc w:val="both"/>
        <w:rPr>
          <w:rFonts w:ascii="Arial" w:hAnsi="Arial" w:cs="Arial"/>
          <w:sz w:val="20"/>
          <w:szCs w:val="20"/>
        </w:rPr>
      </w:pPr>
    </w:p>
    <w:p w14:paraId="7F884293" w14:textId="77777777" w:rsidR="00EE139B" w:rsidRPr="00C36FB7" w:rsidRDefault="00EE139B" w:rsidP="00E45941">
      <w:pPr>
        <w:pStyle w:val="NormaleWeb"/>
        <w:spacing w:before="120" w:beforeAutospacing="0" w:after="120" w:afterAutospacing="0"/>
        <w:rPr>
          <w:rFonts w:ascii="Arial" w:hAnsi="Arial" w:cs="Arial"/>
          <w:color w:val="000000" w:themeColor="text1"/>
          <w:sz w:val="36"/>
          <w:szCs w:val="36"/>
        </w:rPr>
      </w:pPr>
      <w:r w:rsidRPr="005D45E1">
        <w:rPr>
          <w:rFonts w:ascii="Georgia" w:hAnsi="Georgia"/>
          <w:bCs/>
          <w:color w:val="1F497D" w:themeColor="text2"/>
          <w:sz w:val="36"/>
          <w:szCs w:val="36"/>
        </w:rPr>
        <w:t>Per chiarimenti tecnici e metodologici</w:t>
      </w:r>
    </w:p>
    <w:tbl>
      <w:tblPr>
        <w:tblStyle w:val="Grigliatabella"/>
        <w:tblW w:w="4961" w:type="dxa"/>
        <w:tblBorders>
          <w:top w:val="dotted"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tblGrid>
      <w:tr w:rsidR="00EE139B" w:rsidRPr="00F10E60" w14:paraId="0B96E181" w14:textId="77777777" w:rsidTr="00EE139B">
        <w:tc>
          <w:tcPr>
            <w:tcW w:w="4961" w:type="dxa"/>
            <w:tcBorders>
              <w:bottom w:val="nil"/>
            </w:tcBorders>
          </w:tcPr>
          <w:p w14:paraId="296F0CD8" w14:textId="77777777" w:rsidR="00EE139B" w:rsidRDefault="00EE139B" w:rsidP="00E45941">
            <w:pPr>
              <w:pStyle w:val="NormaleWeb"/>
              <w:spacing w:before="0" w:beforeAutospacing="0" w:after="0" w:afterAutospacing="0"/>
              <w:rPr>
                <w:rFonts w:ascii="Arial" w:hAnsi="Arial" w:cs="Arial"/>
                <w:b/>
                <w:bCs/>
                <w:color w:val="1F497D"/>
                <w:sz w:val="22"/>
                <w:szCs w:val="22"/>
              </w:rPr>
            </w:pPr>
          </w:p>
          <w:p w14:paraId="244C95A9" w14:textId="3159AC29" w:rsidR="00EE139B" w:rsidRPr="00F10E60" w:rsidRDefault="00A74FB0" w:rsidP="00E45941">
            <w:pPr>
              <w:pStyle w:val="NormaleWeb"/>
              <w:spacing w:before="0" w:beforeAutospacing="0" w:after="0" w:afterAutospacing="0"/>
              <w:rPr>
                <w:rFonts w:ascii="Arial" w:hAnsi="Arial" w:cs="Arial"/>
                <w:b/>
                <w:bCs/>
                <w:color w:val="1F497D"/>
                <w:sz w:val="22"/>
                <w:szCs w:val="22"/>
              </w:rPr>
            </w:pPr>
            <w:r>
              <w:rPr>
                <w:rFonts w:ascii="Arial" w:hAnsi="Arial" w:cs="Arial"/>
                <w:b/>
                <w:bCs/>
                <w:color w:val="1F497D"/>
                <w:sz w:val="22"/>
                <w:szCs w:val="22"/>
              </w:rPr>
              <w:t>Giulia</w:t>
            </w:r>
            <w:r w:rsidR="00EE139B">
              <w:rPr>
                <w:rFonts w:ascii="Arial" w:hAnsi="Arial" w:cs="Arial"/>
                <w:b/>
                <w:bCs/>
                <w:color w:val="1F497D"/>
                <w:sz w:val="22"/>
                <w:szCs w:val="22"/>
              </w:rPr>
              <w:t xml:space="preserve"> </w:t>
            </w:r>
            <w:r>
              <w:rPr>
                <w:rFonts w:ascii="Arial" w:hAnsi="Arial" w:cs="Arial"/>
                <w:b/>
                <w:bCs/>
                <w:color w:val="1F497D"/>
                <w:sz w:val="22"/>
                <w:szCs w:val="22"/>
              </w:rPr>
              <w:t>Milan</w:t>
            </w:r>
          </w:p>
          <w:p w14:paraId="29162A0B" w14:textId="601755BF" w:rsidR="00EE139B" w:rsidRDefault="00A86C7A" w:rsidP="00E45941">
            <w:pPr>
              <w:pStyle w:val="NormaleWeb"/>
              <w:spacing w:before="0" w:beforeAutospacing="0" w:after="0" w:afterAutospacing="0"/>
              <w:rPr>
                <w:rFonts w:ascii="Arial" w:hAnsi="Arial" w:cs="Arial"/>
                <w:sz w:val="22"/>
                <w:szCs w:val="22"/>
              </w:rPr>
            </w:pPr>
            <w:hyperlink r:id="rId3" w:history="1">
              <w:r w:rsidR="00A74FB0" w:rsidRPr="00A74FB0">
                <w:rPr>
                  <w:rStyle w:val="Collegamentoipertestuale"/>
                  <w:rFonts w:ascii="Arial" w:hAnsi="Arial" w:cs="Arial"/>
                  <w:sz w:val="22"/>
                  <w:szCs w:val="22"/>
                </w:rPr>
                <w:t>milan@istat.it</w:t>
              </w:r>
            </w:hyperlink>
          </w:p>
          <w:p w14:paraId="7A415AF9" w14:textId="10CEA71F" w:rsidR="000B7EE1" w:rsidRDefault="000B7EE1" w:rsidP="00E45941">
            <w:pPr>
              <w:pStyle w:val="NormaleWeb"/>
              <w:spacing w:before="0" w:beforeAutospacing="0" w:after="0" w:afterAutospacing="0"/>
              <w:rPr>
                <w:rFonts w:ascii="Arial" w:hAnsi="Arial" w:cs="Arial"/>
                <w:sz w:val="22"/>
                <w:szCs w:val="22"/>
              </w:rPr>
            </w:pPr>
          </w:p>
          <w:p w14:paraId="78F409F1" w14:textId="77777777" w:rsidR="000B7EE1" w:rsidRPr="000649A4" w:rsidRDefault="000B7EE1" w:rsidP="000B7EE1">
            <w:pPr>
              <w:pStyle w:val="NormaleWeb"/>
              <w:spacing w:before="0" w:beforeAutospacing="0" w:after="0" w:afterAutospacing="0"/>
              <w:rPr>
                <w:rFonts w:ascii="Arial" w:hAnsi="Arial" w:cs="Arial"/>
                <w:b/>
                <w:bCs/>
                <w:color w:val="1F497D"/>
                <w:sz w:val="22"/>
                <w:szCs w:val="22"/>
              </w:rPr>
            </w:pPr>
            <w:r w:rsidRPr="000649A4">
              <w:rPr>
                <w:rFonts w:ascii="Arial" w:hAnsi="Arial" w:cs="Arial"/>
                <w:b/>
                <w:bCs/>
                <w:color w:val="1F497D"/>
                <w:sz w:val="22"/>
                <w:szCs w:val="22"/>
              </w:rPr>
              <w:t>Pierina De Salvo</w:t>
            </w:r>
          </w:p>
          <w:p w14:paraId="452E5CFC" w14:textId="77777777" w:rsidR="000B7EE1" w:rsidRPr="000649A4" w:rsidRDefault="000B7EE1" w:rsidP="000B7EE1">
            <w:pPr>
              <w:pStyle w:val="NormaleWeb"/>
              <w:spacing w:before="0" w:beforeAutospacing="0" w:after="120" w:afterAutospacing="0"/>
              <w:rPr>
                <w:rFonts w:ascii="Arial" w:hAnsi="Arial" w:cs="Arial"/>
                <w:color w:val="1F497D"/>
                <w:sz w:val="22"/>
                <w:szCs w:val="22"/>
              </w:rPr>
            </w:pPr>
            <w:r>
              <w:rPr>
                <w:rFonts w:ascii="Arial" w:hAnsi="Arial" w:cs="Arial"/>
                <w:color w:val="1F497D"/>
                <w:sz w:val="22"/>
                <w:szCs w:val="22"/>
              </w:rPr>
              <w:t>desalvo</w:t>
            </w:r>
            <w:hyperlink r:id="rId4" w:history="1">
              <w:r w:rsidRPr="000649A4">
                <w:rPr>
                  <w:rStyle w:val="Collegamentoipertestuale"/>
                  <w:rFonts w:ascii="Arial" w:hAnsi="Arial" w:cs="Arial"/>
                  <w:color w:val="1F497D"/>
                  <w:sz w:val="22"/>
                  <w:szCs w:val="22"/>
                  <w:u w:val="none"/>
                </w:rPr>
                <w:t>@istat.it</w:t>
              </w:r>
            </w:hyperlink>
          </w:p>
          <w:p w14:paraId="62EE1797" w14:textId="77777777" w:rsidR="000B7EE1" w:rsidRDefault="000B7EE1" w:rsidP="00E45941">
            <w:pPr>
              <w:pStyle w:val="NormaleWeb"/>
              <w:spacing w:before="0" w:beforeAutospacing="0" w:after="0" w:afterAutospacing="0"/>
              <w:rPr>
                <w:rStyle w:val="Collegamentoipertestuale"/>
                <w:rFonts w:ascii="Arial" w:hAnsi="Arial" w:cs="Arial"/>
                <w:sz w:val="22"/>
                <w:szCs w:val="22"/>
              </w:rPr>
            </w:pPr>
          </w:p>
          <w:p w14:paraId="5257C3EF" w14:textId="77777777" w:rsidR="00EE139B" w:rsidRDefault="00EE139B" w:rsidP="00E45941">
            <w:pPr>
              <w:pStyle w:val="NormaleWeb"/>
              <w:spacing w:before="0" w:beforeAutospacing="0" w:after="0" w:afterAutospacing="0"/>
              <w:rPr>
                <w:rFonts w:ascii="Arial" w:hAnsi="Arial" w:cs="Arial"/>
                <w:b/>
                <w:bCs/>
                <w:color w:val="1F497D"/>
                <w:sz w:val="22"/>
                <w:szCs w:val="22"/>
              </w:rPr>
            </w:pPr>
          </w:p>
          <w:p w14:paraId="184E36BE" w14:textId="66F76379" w:rsidR="00EE139B" w:rsidRPr="00F10E60" w:rsidRDefault="00EE139B" w:rsidP="00E45941">
            <w:pPr>
              <w:pStyle w:val="NormaleWeb"/>
              <w:spacing w:before="0" w:beforeAutospacing="0" w:after="0" w:afterAutospacing="0"/>
              <w:rPr>
                <w:rFonts w:ascii="Arial" w:hAnsi="Arial" w:cs="Arial"/>
                <w:bCs/>
                <w:iCs/>
                <w:color w:val="1F497D"/>
                <w:sz w:val="22"/>
                <w:szCs w:val="22"/>
              </w:rPr>
            </w:pPr>
          </w:p>
        </w:tc>
      </w:tr>
    </w:tbl>
    <w:p w14:paraId="681516E7" w14:textId="77777777" w:rsidR="00EE139B" w:rsidRPr="00606FE7" w:rsidRDefault="00EE139B" w:rsidP="002B589F">
      <w:pPr>
        <w:pStyle w:val="Testonotadichiusura"/>
        <w:jc w:val="both"/>
        <w:rPr>
          <w:rFonts w:ascii="Arial" w:hAnsi="Arial" w:cs="Arial"/>
          <w:sz w:val="18"/>
        </w:rPr>
      </w:pPr>
    </w:p>
    <w:p w14:paraId="2B66FE96" w14:textId="77777777" w:rsidR="00EE139B" w:rsidRPr="004200F9" w:rsidRDefault="00EE139B">
      <w:pPr>
        <w:pStyle w:val="Testonotadichiusura"/>
        <w:rPr>
          <w:rFonts w:ascii="Arial" w:hAnsi="Arial" w:cs="Arial"/>
          <w:bCs/>
          <w:sz w:val="16"/>
          <w:szCs w:val="16"/>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20352" w14:textId="14B861FE" w:rsidR="00EE139B" w:rsidRDefault="00EE139B">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2</w:t>
    </w:r>
    <w:r>
      <w:rPr>
        <w:rStyle w:val="Numeropagina"/>
      </w:rPr>
      <w:fldChar w:fldCharType="end"/>
    </w:r>
  </w:p>
  <w:p w14:paraId="2E466184" w14:textId="77777777" w:rsidR="00EE139B" w:rsidRDefault="00EE139B">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6084842"/>
      <w:docPartObj>
        <w:docPartGallery w:val="Page Numbers (Bottom of Page)"/>
        <w:docPartUnique/>
      </w:docPartObj>
    </w:sdtPr>
    <w:sdtEndPr/>
    <w:sdtContent>
      <w:p w14:paraId="7826DF47" w14:textId="4F8EA97D" w:rsidR="00EE139B" w:rsidRDefault="00EE139B">
        <w:pPr>
          <w:pStyle w:val="Pidipagina"/>
        </w:pPr>
        <w:r>
          <w:fldChar w:fldCharType="begin"/>
        </w:r>
        <w:r>
          <w:instrText>PAGE   \* MERGEFORMAT</w:instrText>
        </w:r>
        <w:r>
          <w:fldChar w:fldCharType="separate"/>
        </w:r>
        <w:r w:rsidR="005359B0">
          <w:rPr>
            <w:noProof/>
          </w:rPr>
          <w:t>2</w:t>
        </w:r>
        <w:r>
          <w:fldChar w:fldCharType="end"/>
        </w:r>
      </w:p>
    </w:sdtContent>
  </w:sdt>
  <w:p w14:paraId="065095C4" w14:textId="77777777" w:rsidR="00EE139B" w:rsidRDefault="00EE139B" w:rsidP="00842757">
    <w:pPr>
      <w:pStyle w:val="Pidipagina"/>
      <w:tabs>
        <w:tab w:val="clear" w:pos="4819"/>
        <w:tab w:val="clear" w:pos="9638"/>
        <w:tab w:val="left" w:pos="7773"/>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80F38" w14:textId="31A1EF62" w:rsidR="00EE139B" w:rsidRPr="00C469C4" w:rsidRDefault="00EE139B" w:rsidP="00C469C4">
    <w:pPr>
      <w:pStyle w:val="Pidipagina"/>
      <w:ind w:left="-851"/>
      <w:rPr>
        <w:sz w:val="18"/>
      </w:rPr>
    </w:pPr>
    <w:r>
      <w:rPr>
        <w:noProof/>
        <w:sz w:val="18"/>
      </w:rPr>
      <mc:AlternateContent>
        <mc:Choice Requires="wps">
          <w:drawing>
            <wp:anchor distT="0" distB="0" distL="114300" distR="114300" simplePos="0" relativeHeight="251694592" behindDoc="0" locked="0" layoutInCell="1" allowOverlap="1" wp14:anchorId="2C69618A" wp14:editId="417E0ECA">
              <wp:simplePos x="0" y="0"/>
              <wp:positionH relativeFrom="margin">
                <wp:align>left</wp:align>
              </wp:positionH>
              <wp:positionV relativeFrom="paragraph">
                <wp:posOffset>607695</wp:posOffset>
              </wp:positionV>
              <wp:extent cx="3648883" cy="762000"/>
              <wp:effectExtent l="0" t="0" r="8890" b="0"/>
              <wp:wrapNone/>
              <wp:docPr id="24" name="Casella di testo 24"/>
              <wp:cNvGraphicFramePr/>
              <a:graphic xmlns:a="http://schemas.openxmlformats.org/drawingml/2006/main">
                <a:graphicData uri="http://schemas.microsoft.com/office/word/2010/wordprocessingShape">
                  <wps:wsp>
                    <wps:cNvSpPr txBox="1"/>
                    <wps:spPr>
                      <a:xfrm>
                        <a:off x="0" y="0"/>
                        <a:ext cx="3648883" cy="762000"/>
                      </a:xfrm>
                      <a:prstGeom prst="rect">
                        <a:avLst/>
                      </a:prstGeom>
                      <a:noFill/>
                      <a:ln w="6350">
                        <a:noFill/>
                      </a:ln>
                    </wps:spPr>
                    <wps:txbx>
                      <w:txbxContent>
                        <w:tbl>
                          <w:tblPr>
                            <w:tblStyle w:val="Grigliatabella"/>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6"/>
                          </w:tblGrid>
                          <w:tr w:rsidR="00EE139B" w:rsidRPr="000E0402" w14:paraId="0A01F98F" w14:textId="77777777" w:rsidTr="00D62549">
                            <w:trPr>
                              <w:trHeight w:val="1195"/>
                            </w:trPr>
                            <w:tc>
                              <w:tcPr>
                                <w:tcW w:w="3544" w:type="dxa"/>
                              </w:tcPr>
                              <w:p w14:paraId="1ADBED90" w14:textId="77777777" w:rsidR="00EE139B" w:rsidRPr="004649F8" w:rsidRDefault="00EE139B" w:rsidP="00D62549">
                                <w:pPr>
                                  <w:rPr>
                                    <w:rFonts w:ascii="Arial Narrow" w:hAnsi="Arial Narrow"/>
                                    <w:b/>
                                    <w:bCs/>
                                    <w:color w:val="1F497D"/>
                                  </w:rPr>
                                </w:pPr>
                                <w:r w:rsidRPr="004649F8">
                                  <w:rPr>
                                    <w:rFonts w:ascii="Arial Narrow" w:hAnsi="Arial Narrow"/>
                                    <w:b/>
                                    <w:bCs/>
                                    <w:color w:val="1F497D"/>
                                  </w:rPr>
                                  <w:t>UFFICIO STAMPA</w:t>
                                </w:r>
                              </w:p>
                              <w:p w14:paraId="02355FE5" w14:textId="77777777" w:rsidR="00EE139B" w:rsidRPr="004649F8" w:rsidRDefault="00EE139B" w:rsidP="00D62549">
                                <w:pPr>
                                  <w:rPr>
                                    <w:rFonts w:ascii="Arial Narrow" w:hAnsi="Arial Narrow"/>
                                    <w:color w:val="1F497D"/>
                                  </w:rPr>
                                </w:pPr>
                                <w:r w:rsidRPr="004649F8">
                                  <w:rPr>
                                    <w:rFonts w:ascii="Arial Narrow" w:hAnsi="Arial Narrow"/>
                                    <w:color w:val="1F497D"/>
                                  </w:rPr>
                                  <w:t>tel. +39 06 4673.2243/44</w:t>
                                </w:r>
                              </w:p>
                              <w:p w14:paraId="54AC789B" w14:textId="77777777" w:rsidR="00EE139B" w:rsidRPr="004649F8" w:rsidRDefault="00A86C7A" w:rsidP="00D62549">
                                <w:pPr>
                                  <w:rPr>
                                    <w:rFonts w:ascii="Arial Narrow" w:hAnsi="Arial Narrow"/>
                                    <w:color w:val="1F497D"/>
                                  </w:rPr>
                                </w:pPr>
                                <w:hyperlink r:id="rId1" w:history="1">
                                  <w:r w:rsidR="00EE139B" w:rsidRPr="002E68C4">
                                    <w:rPr>
                                      <w:rStyle w:val="Collegamentoipertestuale"/>
                                      <w:rFonts w:ascii="Arial Narrow" w:hAnsi="Arial Narrow"/>
                                      <w:color w:val="023859"/>
                                    </w:rPr>
                                    <w:t>ufficiostampa@istat.it</w:t>
                                  </w:r>
                                </w:hyperlink>
                              </w:p>
                            </w:tc>
                            <w:tc>
                              <w:tcPr>
                                <w:tcW w:w="2126" w:type="dxa"/>
                              </w:tcPr>
                              <w:p w14:paraId="779BB6C9" w14:textId="07841A98" w:rsidR="00EE139B" w:rsidRPr="002E68C4" w:rsidRDefault="00EE139B" w:rsidP="00D62549">
                                <w:pPr>
                                  <w:rPr>
                                    <w:rFonts w:ascii="Arial Narrow" w:hAnsi="Arial Narrow"/>
                                    <w:color w:val="1F497D"/>
                                    <w:lang w:val="en-US"/>
                                  </w:rPr>
                                </w:pPr>
                                <w:r w:rsidRPr="002E68C4">
                                  <w:rPr>
                                    <w:rFonts w:ascii="Arial Narrow" w:hAnsi="Arial Narrow"/>
                                    <w:b/>
                                    <w:bCs/>
                                    <w:color w:val="1F497D"/>
                                    <w:lang w:val="en-US"/>
                                  </w:rPr>
                                  <w:t>CONTACT CENTRE</w:t>
                                </w:r>
                                <w:r w:rsidRPr="002E68C4">
                                  <w:rPr>
                                    <w:rFonts w:ascii="Arial Narrow" w:hAnsi="Arial Narrow"/>
                                    <w:color w:val="1F497D"/>
                                    <w:lang w:val="en-US"/>
                                  </w:rPr>
                                  <w:br/>
                                </w:r>
                                <w:hyperlink r:id="rId2" w:history="1">
                                  <w:r w:rsidRPr="002E68C4">
                                    <w:rPr>
                                      <w:rStyle w:val="Collegamentoipertestuale"/>
                                      <w:rFonts w:ascii="Arial Narrow" w:hAnsi="Arial Narrow"/>
                                      <w:color w:val="023859"/>
                                      <w:lang w:val="en-US"/>
                                    </w:rPr>
                                    <w:t>contact.istat.it</w:t>
                                  </w:r>
                                </w:hyperlink>
                              </w:p>
                              <w:p w14:paraId="2BC0441E" w14:textId="77777777" w:rsidR="00EE139B" w:rsidRPr="002E68C4" w:rsidRDefault="00EE139B" w:rsidP="00D62549">
                                <w:pPr>
                                  <w:rPr>
                                    <w:rFonts w:ascii="Arial Narrow" w:hAnsi="Arial Narrow"/>
                                    <w:color w:val="1F497D"/>
                                    <w:lang w:val="en-US"/>
                                  </w:rPr>
                                </w:pPr>
                              </w:p>
                            </w:tc>
                          </w:tr>
                        </w:tbl>
                        <w:p w14:paraId="08CFA171" w14:textId="77777777" w:rsidR="00EE139B" w:rsidRPr="004649F8" w:rsidRDefault="00EE139B" w:rsidP="009B67E8">
                          <w:pPr>
                            <w:rPr>
                              <w:rFonts w:ascii="Arial Narrow" w:hAnsi="Arial Narrow"/>
                              <w:color w:val="1F497D"/>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69618A" id="_x0000_t202" coordsize="21600,21600" o:spt="202" path="m,l,21600r21600,l21600,xe">
              <v:stroke joinstyle="miter"/>
              <v:path gradientshapeok="t" o:connecttype="rect"/>
            </v:shapetype>
            <v:shape id="Casella di testo 24" o:spid="_x0000_s1029" type="#_x0000_t202" style="position:absolute;left:0;text-align:left;margin-left:0;margin-top:47.85pt;width:287.3pt;height:60pt;z-index:251694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" filled="f" stroked="f" strokeweight=".5pt">
              <v:textbox inset="0,0,0,0">
                <w:txbxContent>
                  <w:tbl>
                    <w:tblPr>
                      <w:tblStyle w:val="Grigliatabella"/>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6"/>
                    </w:tblGrid>
                    <w:tr w:rsidR="00EE139B" w:rsidRPr="000E0402" w14:paraId="0A01F98F" w14:textId="77777777" w:rsidTr="00D62549">
                      <w:trPr>
                        <w:trHeight w:val="1195"/>
                      </w:trPr>
                      <w:tc>
                        <w:tcPr>
                          <w:tcW w:w="3544" w:type="dxa"/>
                        </w:tcPr>
                        <w:p w14:paraId="1ADBED90" w14:textId="77777777" w:rsidR="00EE139B" w:rsidRPr="004649F8" w:rsidRDefault="00EE139B" w:rsidP="00D62549">
                          <w:pPr>
                            <w:rPr>
                              <w:rFonts w:ascii="Arial Narrow" w:hAnsi="Arial Narrow"/>
                              <w:b/>
                              <w:bCs/>
                              <w:color w:val="1F497D"/>
                            </w:rPr>
                          </w:pPr>
                          <w:r w:rsidRPr="004649F8">
                            <w:rPr>
                              <w:rFonts w:ascii="Arial Narrow" w:hAnsi="Arial Narrow"/>
                              <w:b/>
                              <w:bCs/>
                              <w:color w:val="1F497D"/>
                            </w:rPr>
                            <w:t>UFFICIO STAMPA</w:t>
                          </w:r>
                        </w:p>
                        <w:p w14:paraId="02355FE5" w14:textId="77777777" w:rsidR="00EE139B" w:rsidRPr="004649F8" w:rsidRDefault="00EE139B" w:rsidP="00D62549">
                          <w:pPr>
                            <w:rPr>
                              <w:rFonts w:ascii="Arial Narrow" w:hAnsi="Arial Narrow"/>
                              <w:color w:val="1F497D"/>
                            </w:rPr>
                          </w:pPr>
                          <w:r w:rsidRPr="004649F8">
                            <w:rPr>
                              <w:rFonts w:ascii="Arial Narrow" w:hAnsi="Arial Narrow"/>
                              <w:color w:val="1F497D"/>
                            </w:rPr>
                            <w:t>tel. +39 06 4673.2243/44</w:t>
                          </w:r>
                        </w:p>
                        <w:p w14:paraId="54AC789B" w14:textId="77777777" w:rsidR="00EE139B" w:rsidRPr="004649F8" w:rsidRDefault="00A86C7A" w:rsidP="00D62549">
                          <w:pPr>
                            <w:rPr>
                              <w:rFonts w:ascii="Arial Narrow" w:hAnsi="Arial Narrow"/>
                              <w:color w:val="1F497D"/>
                            </w:rPr>
                          </w:pPr>
                          <w:hyperlink r:id="rId3" w:history="1">
                            <w:r w:rsidR="00EE139B" w:rsidRPr="002E68C4">
                              <w:rPr>
                                <w:rStyle w:val="Collegamentoipertestuale"/>
                                <w:rFonts w:ascii="Arial Narrow" w:hAnsi="Arial Narrow"/>
                                <w:color w:val="023859"/>
                              </w:rPr>
                              <w:t>ufficiostampa@istat.it</w:t>
                            </w:r>
                          </w:hyperlink>
                        </w:p>
                      </w:tc>
                      <w:tc>
                        <w:tcPr>
                          <w:tcW w:w="2126" w:type="dxa"/>
                        </w:tcPr>
                        <w:p w14:paraId="779BB6C9" w14:textId="07841A98" w:rsidR="00EE139B" w:rsidRPr="002E68C4" w:rsidRDefault="00EE139B" w:rsidP="00D62549">
                          <w:pPr>
                            <w:rPr>
                              <w:rFonts w:ascii="Arial Narrow" w:hAnsi="Arial Narrow"/>
                              <w:color w:val="1F497D"/>
                              <w:lang w:val="en-US"/>
                            </w:rPr>
                          </w:pPr>
                          <w:r w:rsidRPr="002E68C4">
                            <w:rPr>
                              <w:rFonts w:ascii="Arial Narrow" w:hAnsi="Arial Narrow"/>
                              <w:b/>
                              <w:bCs/>
                              <w:color w:val="1F497D"/>
                              <w:lang w:val="en-US"/>
                            </w:rPr>
                            <w:t>CONTACT CENTRE</w:t>
                          </w:r>
                          <w:r w:rsidRPr="002E68C4">
                            <w:rPr>
                              <w:rFonts w:ascii="Arial Narrow" w:hAnsi="Arial Narrow"/>
                              <w:color w:val="1F497D"/>
                              <w:lang w:val="en-US"/>
                            </w:rPr>
                            <w:br/>
                          </w:r>
                          <w:hyperlink r:id="rId4" w:history="1">
                            <w:r w:rsidRPr="002E68C4">
                              <w:rPr>
                                <w:rStyle w:val="Collegamentoipertestuale"/>
                                <w:rFonts w:ascii="Arial Narrow" w:hAnsi="Arial Narrow"/>
                                <w:color w:val="023859"/>
                                <w:lang w:val="en-US"/>
                              </w:rPr>
                              <w:t>contact.istat.it</w:t>
                            </w:r>
                          </w:hyperlink>
                        </w:p>
                        <w:p w14:paraId="2BC0441E" w14:textId="77777777" w:rsidR="00EE139B" w:rsidRPr="002E68C4" w:rsidRDefault="00EE139B" w:rsidP="00D62549">
                          <w:pPr>
                            <w:rPr>
                              <w:rFonts w:ascii="Arial Narrow" w:hAnsi="Arial Narrow"/>
                              <w:color w:val="1F497D"/>
                              <w:lang w:val="en-US"/>
                            </w:rPr>
                          </w:pPr>
                        </w:p>
                      </w:tc>
                    </w:tr>
                  </w:tbl>
                  <w:p w14:paraId="08CFA171" w14:textId="77777777" w:rsidR="00EE139B" w:rsidRPr="004649F8" w:rsidRDefault="00EE139B" w:rsidP="009B67E8">
                    <w:pPr>
                      <w:rPr>
                        <w:rFonts w:ascii="Arial Narrow" w:hAnsi="Arial Narrow"/>
                        <w:color w:val="1F497D"/>
                        <w:lang w:val="en-US"/>
                      </w:rPr>
                    </w:pPr>
                  </w:p>
                </w:txbxContent>
              </v:textbox>
              <w10:wrap anchorx="margin"/>
            </v:shape>
          </w:pict>
        </mc:Fallback>
      </mc:AlternateContent>
    </w:r>
    <w:r>
      <w:rPr>
        <w:noProof/>
        <w:sz w:val="18"/>
      </w:rPr>
      <w:drawing>
        <wp:inline distT="0" distB="0" distL="0" distR="0" wp14:anchorId="096B9CFA" wp14:editId="2FD0FEAA">
          <wp:extent cx="7542000" cy="1641600"/>
          <wp:effectExtent l="0" t="0" r="1905"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estateReport_Tavola disegno 1 copia.jpg"/>
                  <pic:cNvPicPr/>
                </pic:nvPicPr>
                <pic:blipFill>
                  <a:blip r:embed="rId5"/>
                  <a:stretch>
                    <a:fillRect/>
                  </a:stretch>
                </pic:blipFill>
                <pic:spPr>
                  <a:xfrm>
                    <a:off x="0" y="0"/>
                    <a:ext cx="7542000" cy="16416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7D353" w14:textId="5670D7BC" w:rsidR="00EE139B" w:rsidRDefault="00EE139B">
    <w:pPr>
      <w:rPr>
        <w:rFonts w:asciiTheme="majorHAnsi" w:eastAsiaTheme="majorEastAsia" w:hAnsiTheme="majorHAnsi" w:cstheme="majorBidi"/>
      </w:rPr>
    </w:pPr>
    <w:r w:rsidRPr="00156D6F">
      <w:rPr>
        <w:rFonts w:asciiTheme="majorHAnsi" w:hAnsiTheme="majorHAnsi" w:cstheme="majorBidi"/>
        <w:noProof/>
      </w:rPr>
      <mc:AlternateContent>
        <mc:Choice Requires="wps">
          <w:drawing>
            <wp:anchor distT="4294967294" distB="4294967294" distL="114300" distR="114300" simplePos="0" relativeHeight="251707904" behindDoc="0" locked="0" layoutInCell="1" allowOverlap="1" wp14:anchorId="19647F2A" wp14:editId="59C9F9F0">
              <wp:simplePos x="0" y="0"/>
              <wp:positionH relativeFrom="margin">
                <wp:align>left</wp:align>
              </wp:positionH>
              <wp:positionV relativeFrom="paragraph">
                <wp:posOffset>-104140</wp:posOffset>
              </wp:positionV>
              <wp:extent cx="6299835" cy="0"/>
              <wp:effectExtent l="0" t="0" r="24765" b="19050"/>
              <wp:wrapNone/>
              <wp:docPr id="11" name="Connettore 1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9835" cy="0"/>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7C88F5BB" id="Connettore 1 28" o:spid="_x0000_s1026" style="position:absolute;z-index:25170790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page" from="0,-8.2pt" to="496.0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" strokecolor="white [3212]" strokeweight="1.25pt">
              <o:lock v:ext="edit" shapetype="f"/>
              <w10:wrap anchorx="margin"/>
            </v:line>
          </w:pict>
        </mc:Fallback>
      </mc:AlternateContent>
    </w:r>
    <w:r w:rsidRPr="00156D6F">
      <w:rPr>
        <w:rFonts w:asciiTheme="majorHAnsi" w:eastAsiaTheme="majorEastAsia" w:hAnsiTheme="majorHAnsi" w:cstheme="majorBidi"/>
        <w:noProof/>
      </w:rPr>
      <mc:AlternateContent>
        <mc:Choice Requires="wps">
          <w:drawing>
            <wp:anchor distT="0" distB="0" distL="114300" distR="114300" simplePos="0" relativeHeight="251706880" behindDoc="0" locked="0" layoutInCell="1" allowOverlap="1" wp14:anchorId="04871830" wp14:editId="538E1258">
              <wp:simplePos x="0" y="0"/>
              <wp:positionH relativeFrom="page">
                <wp:align>left</wp:align>
              </wp:positionH>
              <wp:positionV relativeFrom="paragraph">
                <wp:posOffset>-3117850</wp:posOffset>
              </wp:positionV>
              <wp:extent cx="7553325" cy="3476625"/>
              <wp:effectExtent l="0" t="0" r="9525" b="9525"/>
              <wp:wrapNone/>
              <wp:docPr id="9" name="Rettangol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3325" cy="3476625"/>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74D3D72" id="Rettangolo 10" o:spid="_x0000_s1026" style="position:absolute;margin-left:0;margin-top:-245.5pt;width:594.75pt;height:273.75pt;z-index:2517068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" fillcolor="#d9d9d9" stroked="f" strokeweight="2pt">
              <v:path arrowok="t"/>
              <w10:wrap anchorx="page"/>
            </v:rect>
          </w:pict>
        </mc:Fallback>
      </mc:AlternateContent>
    </w:r>
    <w:r w:rsidRPr="00156D6F">
      <w:rPr>
        <w:rFonts w:asciiTheme="majorHAnsi" w:hAnsiTheme="majorHAnsi" w:cstheme="majorBidi"/>
        <w:noProof/>
      </w:rPr>
      <mc:AlternateContent>
        <mc:Choice Requires="wps">
          <w:drawing>
            <wp:anchor distT="4294967292" distB="4294967292" distL="114300" distR="114300" simplePos="0" relativeHeight="251708928" behindDoc="0" locked="0" layoutInCell="1" allowOverlap="1" wp14:anchorId="25FDB481" wp14:editId="14396C52">
              <wp:simplePos x="0" y="0"/>
              <wp:positionH relativeFrom="margin">
                <wp:posOffset>-23495</wp:posOffset>
              </wp:positionH>
              <wp:positionV relativeFrom="paragraph">
                <wp:posOffset>-2584450</wp:posOffset>
              </wp:positionV>
              <wp:extent cx="6299835" cy="0"/>
              <wp:effectExtent l="0" t="0" r="24765" b="19050"/>
              <wp:wrapNone/>
              <wp:docPr id="14" name="Connettore 1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9835" cy="0"/>
                      </a:xfrm>
                      <a:prstGeom prst="line">
                        <a:avLst/>
                      </a:prstGeom>
                      <a:noFill/>
                      <a:ln w="15875" cap="flat" cmpd="sng" algn="ctr">
                        <a:solidFill>
                          <a:sysClr val="window" lastClr="FFFFFF"/>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5D66317C" id="Connettore 1 12" o:spid="_x0000_s1026" style="position:absolute;z-index:251708928;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1.85pt,-203.5pt" to="494.2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" strokecolor="window" strokeweight="1.25pt">
              <o:lock v:ext="edit" shapetype="f"/>
              <w10:wrap anchorx="margin"/>
            </v:line>
          </w:pict>
        </mc:Fallback>
      </mc:AlternateContent>
    </w:r>
    <w:r w:rsidRPr="00156D6F">
      <w:rPr>
        <w:rFonts w:asciiTheme="majorHAnsi" w:hAnsiTheme="majorHAnsi" w:cstheme="majorBidi"/>
        <w:noProof/>
      </w:rPr>
      <w:drawing>
        <wp:anchor distT="0" distB="0" distL="114300" distR="114300" simplePos="0" relativeHeight="251709952" behindDoc="0" locked="0" layoutInCell="1" allowOverlap="1" wp14:anchorId="288F6E69" wp14:editId="00C4AD4F">
          <wp:simplePos x="0" y="0"/>
          <wp:positionH relativeFrom="column">
            <wp:posOffset>-520065</wp:posOffset>
          </wp:positionH>
          <wp:positionV relativeFrom="paragraph">
            <wp:posOffset>-3391535</wp:posOffset>
          </wp:positionV>
          <wp:extent cx="466725" cy="483235"/>
          <wp:effectExtent l="0" t="0" r="9525" b="0"/>
          <wp:wrapNone/>
          <wp:docPr id="16" name="Immagin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66725" cy="483235"/>
                  </a:xfrm>
                  <a:prstGeom prst="rect">
                    <a:avLst/>
                  </a:prstGeom>
                </pic:spPr>
              </pic:pic>
            </a:graphicData>
          </a:graphic>
          <wp14:sizeRelV relativeFrom="margin">
            <wp14:pctHeight>0</wp14:pctHeight>
          </wp14:sizeRelV>
        </wp:anchor>
      </w:drawing>
    </w:r>
    <w:sdt>
      <w:sdtPr>
        <w:rPr>
          <w:rFonts w:asciiTheme="majorHAnsi" w:eastAsiaTheme="majorEastAsia" w:hAnsiTheme="majorHAnsi" w:cstheme="majorBidi"/>
          <w:highlight w:val="lightGray"/>
        </w:rPr>
        <w:id w:val="1572474750"/>
        <w:docPartObj>
          <w:docPartGallery w:val="Page Numbers (Bottom of Page)"/>
          <w:docPartUnique/>
        </w:docPartObj>
      </w:sdtPr>
      <w:sdtEndPr/>
      <w:sdtContent>
        <w:r>
          <w:rPr>
            <w:noProof/>
            <w:sz w:val="28"/>
            <w:szCs w:val="28"/>
          </w:rPr>
          <mc:AlternateContent>
            <mc:Choice Requires="wps">
              <w:drawing>
                <wp:anchor distT="4294967294" distB="4294967294" distL="114300" distR="114300" simplePos="0" relativeHeight="251704832" behindDoc="0" locked="0" layoutInCell="1" allowOverlap="1" wp14:anchorId="7275B0DD" wp14:editId="280EF47D">
                  <wp:simplePos x="0" y="0"/>
                  <wp:positionH relativeFrom="column">
                    <wp:posOffset>-10160</wp:posOffset>
                  </wp:positionH>
                  <wp:positionV relativeFrom="paragraph">
                    <wp:posOffset>-2532381</wp:posOffset>
                  </wp:positionV>
                  <wp:extent cx="6299835" cy="0"/>
                  <wp:effectExtent l="0" t="0" r="24765" b="19050"/>
                  <wp:wrapNone/>
                  <wp:docPr id="17" name="Connettore 1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9835" cy="0"/>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694BD9D4" id="Connettore 1 12" o:spid="_x0000_s1026" style="position:absolute;z-index:2517048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8pt,-199.4pt" to="495.25pt,-1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" strokecolor="white [3212]" strokeweight="1.25pt">
                  <o:lock v:ext="edit" shapetype="f"/>
                </v:line>
              </w:pict>
            </mc:Fallback>
          </mc:AlternateContent>
        </w:r>
        <w:r>
          <w:rPr>
            <w:noProof/>
            <w:sz w:val="28"/>
            <w:szCs w:val="28"/>
          </w:rPr>
          <mc:AlternateContent>
            <mc:Choice Requires="wps">
              <w:drawing>
                <wp:anchor distT="4294967294" distB="4294967294" distL="114300" distR="114300" simplePos="0" relativeHeight="251703808" behindDoc="0" locked="0" layoutInCell="1" allowOverlap="1" wp14:anchorId="60C62FF5" wp14:editId="2E2AADF6">
                  <wp:simplePos x="0" y="0"/>
                  <wp:positionH relativeFrom="column">
                    <wp:posOffset>-10160</wp:posOffset>
                  </wp:positionH>
                  <wp:positionV relativeFrom="paragraph">
                    <wp:posOffset>-127636</wp:posOffset>
                  </wp:positionV>
                  <wp:extent cx="6299835" cy="0"/>
                  <wp:effectExtent l="0" t="0" r="24765" b="19050"/>
                  <wp:wrapNone/>
                  <wp:docPr id="18" name="Connettore 1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9835" cy="0"/>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7C9991C6" id="Connettore 1 28" o:spid="_x0000_s1026" style="position:absolute;z-index:2517038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8pt,-10.05pt" to="495.2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" strokecolor="white [3212]" strokeweight="1.25pt">
                  <o:lock v:ext="edit" shapetype="f"/>
                </v:line>
              </w:pict>
            </mc:Fallback>
          </mc:AlternateContent>
        </w:r>
        <w:sdt>
          <w:sdtPr>
            <w:rPr>
              <w:rFonts w:asciiTheme="majorHAnsi" w:eastAsiaTheme="majorEastAsia" w:hAnsiTheme="majorHAnsi" w:cstheme="majorBidi"/>
              <w:highlight w:val="lightGray"/>
            </w:rPr>
            <w:id w:val="-1746106435"/>
            <w:docPartObj>
              <w:docPartGallery w:val="Page Numbers (Margins)"/>
              <w:docPartUnique/>
            </w:docPartObj>
          </w:sdtPr>
          <w:sdtEndPr/>
          <w:sdtContent>
            <w:r>
              <w:rPr>
                <w:rFonts w:ascii="Arial Narrow" w:hAnsi="Arial Narrow"/>
                <w:noProof/>
                <w:color w:val="FFFFFF" w:themeColor="background1"/>
              </w:rPr>
              <mc:AlternateContent>
                <mc:Choice Requires="wps">
                  <w:drawing>
                    <wp:anchor distT="0" distB="0" distL="114300" distR="114300" simplePos="0" relativeHeight="251702784" behindDoc="0" locked="0" layoutInCell="0" allowOverlap="1" wp14:anchorId="366075AF" wp14:editId="2D8F80B5">
                      <wp:simplePos x="0" y="0"/>
                      <wp:positionH relativeFrom="rightMargin">
                        <wp:posOffset>179070</wp:posOffset>
                      </wp:positionH>
                      <wp:positionV relativeFrom="margin">
                        <wp:posOffset>9758045</wp:posOffset>
                      </wp:positionV>
                      <wp:extent cx="398780" cy="329565"/>
                      <wp:effectExtent l="0" t="0" r="0" b="0"/>
                      <wp:wrapNone/>
                      <wp:docPr id="20"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 cy="329565"/>
                              </a:xfrm>
                              <a:prstGeom prst="rect">
                                <a:avLst/>
                              </a:prstGeom>
                              <a:noFill/>
                            </wps:spPr>
                            <wps:txbx>
                              <w:txbxContent>
                                <w:p w14:paraId="5DA79CFA" w14:textId="3218D54B" w:rsidR="00EE139B" w:rsidRPr="001B745D" w:rsidRDefault="00EE139B" w:rsidP="00CA469E">
                                  <w:pPr>
                                    <w:jc w:val="right"/>
                                    <w:rPr>
                                      <w:rFonts w:ascii="Arial" w:hAnsi="Arial" w:cs="Arial"/>
                                      <w:b/>
                                      <w:color w:val="244061" w:themeColor="accent1" w:themeShade="80"/>
                                      <w:sz w:val="20"/>
                                      <w:szCs w:val="20"/>
                                    </w:rPr>
                                  </w:pPr>
                                  <w:r w:rsidRPr="00CA469E">
                                    <w:rPr>
                                      <w:rFonts w:ascii="Arial" w:hAnsi="Arial" w:cs="Arial"/>
                                      <w:b/>
                                      <w:color w:val="244061" w:themeColor="accent1" w:themeShade="80"/>
                                      <w:sz w:val="20"/>
                                      <w:szCs w:val="20"/>
                                    </w:rPr>
                                    <w:fldChar w:fldCharType="begin"/>
                                  </w:r>
                                  <w:r w:rsidRPr="00CA469E">
                                    <w:rPr>
                                      <w:rFonts w:ascii="Arial" w:hAnsi="Arial" w:cs="Arial"/>
                                      <w:b/>
                                      <w:color w:val="244061" w:themeColor="accent1" w:themeShade="80"/>
                                      <w:sz w:val="20"/>
                                      <w:szCs w:val="20"/>
                                    </w:rPr>
                                    <w:instrText>PAGE   \* MERGEFORMAT</w:instrText>
                                  </w:r>
                                  <w:r w:rsidRPr="00CA469E">
                                    <w:rPr>
                                      <w:rFonts w:ascii="Arial" w:hAnsi="Arial" w:cs="Arial"/>
                                      <w:b/>
                                      <w:color w:val="244061" w:themeColor="accent1" w:themeShade="80"/>
                                      <w:sz w:val="20"/>
                                      <w:szCs w:val="20"/>
                                    </w:rPr>
                                    <w:fldChar w:fldCharType="separate"/>
                                  </w:r>
                                  <w:r w:rsidR="006610F2">
                                    <w:rPr>
                                      <w:rFonts w:ascii="Arial" w:hAnsi="Arial" w:cs="Arial"/>
                                      <w:b/>
                                      <w:noProof/>
                                      <w:color w:val="244061" w:themeColor="accent1" w:themeShade="80"/>
                                      <w:sz w:val="20"/>
                                      <w:szCs w:val="20"/>
                                    </w:rPr>
                                    <w:t>9</w:t>
                                  </w:r>
                                  <w:r w:rsidRPr="00CA469E">
                                    <w:rPr>
                                      <w:rFonts w:ascii="Arial" w:hAnsi="Arial" w:cs="Arial"/>
                                      <w:b/>
                                      <w:color w:val="244061" w:themeColor="accent1" w:themeShade="80"/>
                                      <w:sz w:val="20"/>
                                      <w:szCs w:val="20"/>
                                    </w:rPr>
                                    <w:fldChar w:fldCharType="end"/>
                                  </w:r>
                                </w:p>
                              </w:txbxContent>
                            </wps:txbx>
                            <wps:bodyPr rot="0" vert="horz"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366075AF" id="Rettangolo 4" o:spid="_x0000_s1030" style="position:absolute;margin-left:14.1pt;margin-top:768.35pt;width:31.4pt;height:25.95pt;z-index:2517027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" o:allowincell="f" filled="f" stroked="f">
                      <v:textbox>
                        <w:txbxContent>
                          <w:p w14:paraId="5DA79CFA" w14:textId="3218D54B" w:rsidR="00EE139B" w:rsidRPr="001B745D" w:rsidRDefault="00EE139B" w:rsidP="00CA469E">
                            <w:pPr>
                              <w:jc w:val="right"/>
                              <w:rPr>
                                <w:rFonts w:ascii="Arial" w:hAnsi="Arial" w:cs="Arial"/>
                                <w:b/>
                                <w:color w:val="244061" w:themeColor="accent1" w:themeShade="80"/>
                                <w:sz w:val="20"/>
                                <w:szCs w:val="20"/>
                              </w:rPr>
                            </w:pPr>
                            <w:r w:rsidRPr="00CA469E">
                              <w:rPr>
                                <w:rFonts w:ascii="Arial" w:hAnsi="Arial" w:cs="Arial"/>
                                <w:b/>
                                <w:color w:val="244061" w:themeColor="accent1" w:themeShade="80"/>
                                <w:sz w:val="20"/>
                                <w:szCs w:val="20"/>
                              </w:rPr>
                              <w:fldChar w:fldCharType="begin"/>
                            </w:r>
                            <w:r w:rsidRPr="00CA469E">
                              <w:rPr>
                                <w:rFonts w:ascii="Arial" w:hAnsi="Arial" w:cs="Arial"/>
                                <w:b/>
                                <w:color w:val="244061" w:themeColor="accent1" w:themeShade="80"/>
                                <w:sz w:val="20"/>
                                <w:szCs w:val="20"/>
                              </w:rPr>
                              <w:instrText>PAGE   \* MERGEFORMAT</w:instrText>
                            </w:r>
                            <w:r w:rsidRPr="00CA469E">
                              <w:rPr>
                                <w:rFonts w:ascii="Arial" w:hAnsi="Arial" w:cs="Arial"/>
                                <w:b/>
                                <w:color w:val="244061" w:themeColor="accent1" w:themeShade="80"/>
                                <w:sz w:val="20"/>
                                <w:szCs w:val="20"/>
                              </w:rPr>
                              <w:fldChar w:fldCharType="separate"/>
                            </w:r>
                            <w:r w:rsidR="006610F2">
                              <w:rPr>
                                <w:rFonts w:ascii="Arial" w:hAnsi="Arial" w:cs="Arial"/>
                                <w:b/>
                                <w:noProof/>
                                <w:color w:val="244061" w:themeColor="accent1" w:themeShade="80"/>
                                <w:sz w:val="20"/>
                                <w:szCs w:val="20"/>
                              </w:rPr>
                              <w:t>9</w:t>
                            </w:r>
                            <w:r w:rsidRPr="00CA469E">
                              <w:rPr>
                                <w:rFonts w:ascii="Arial" w:hAnsi="Arial" w:cs="Arial"/>
                                <w:b/>
                                <w:color w:val="244061" w:themeColor="accent1" w:themeShade="80"/>
                                <w:sz w:val="20"/>
                                <w:szCs w:val="20"/>
                              </w:rPr>
                              <w:fldChar w:fldCharType="end"/>
                            </w:r>
                          </w:p>
                        </w:txbxContent>
                      </v:textbox>
                      <w10:wrap anchorx="margin" anchory="margin"/>
                    </v:rect>
                  </w:pict>
                </mc:Fallback>
              </mc:AlternateContent>
            </w:r>
            <w:r>
              <w:rPr>
                <w:noProof/>
              </w:rPr>
              <w:drawing>
                <wp:anchor distT="0" distB="0" distL="114300" distR="114300" simplePos="0" relativeHeight="251701760" behindDoc="0" locked="0" layoutInCell="1" allowOverlap="1" wp14:anchorId="75497A30" wp14:editId="1EE18CDC">
                  <wp:simplePos x="0" y="0"/>
                  <wp:positionH relativeFrom="column">
                    <wp:posOffset>5678170</wp:posOffset>
                  </wp:positionH>
                  <wp:positionV relativeFrom="paragraph">
                    <wp:posOffset>-263525</wp:posOffset>
                  </wp:positionV>
                  <wp:extent cx="1256030" cy="788035"/>
                  <wp:effectExtent l="0" t="0" r="1270" b="0"/>
                  <wp:wrapNone/>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ateReport_Tavola disegno 1 copia 2.png"/>
                          <pic:cNvPicPr/>
                        </pic:nvPicPr>
                        <pic:blipFill>
                          <a:blip r:embed="rId2"/>
                          <a:stretch>
                            <a:fillRect/>
                          </a:stretch>
                        </pic:blipFill>
                        <pic:spPr>
                          <a:xfrm>
                            <a:off x="0" y="0"/>
                            <a:ext cx="1256030" cy="788035"/>
                          </a:xfrm>
                          <a:prstGeom prst="rect">
                            <a:avLst/>
                          </a:prstGeom>
                        </pic:spPr>
                      </pic:pic>
                    </a:graphicData>
                  </a:graphic>
                </wp:anchor>
              </w:drawing>
            </w:r>
          </w:sdtContent>
        </w:sdt>
      </w:sdtContent>
    </w:sdt>
  </w:p>
  <w:p w14:paraId="3E62D56C" w14:textId="77777777" w:rsidR="00EE139B" w:rsidRDefault="00EE139B" w:rsidP="00842757">
    <w:pPr>
      <w:pStyle w:val="Pidipagina"/>
      <w:tabs>
        <w:tab w:val="clear" w:pos="4819"/>
        <w:tab w:val="clear" w:pos="9638"/>
        <w:tab w:val="left" w:pos="7773"/>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AFAE0" w14:textId="23804460" w:rsidR="00EE139B" w:rsidRDefault="00EE139B">
    <w:pPr>
      <w:rPr>
        <w:rFonts w:asciiTheme="majorHAnsi" w:eastAsiaTheme="majorEastAsia" w:hAnsiTheme="majorHAnsi" w:cstheme="majorBidi"/>
      </w:rPr>
    </w:pPr>
    <w:r w:rsidRPr="00156D6F">
      <w:rPr>
        <w:rFonts w:asciiTheme="majorHAnsi" w:hAnsiTheme="majorHAnsi" w:cstheme="majorBidi"/>
        <w:noProof/>
      </w:rPr>
      <mc:AlternateContent>
        <mc:Choice Requires="wps">
          <w:drawing>
            <wp:anchor distT="4294967294" distB="4294967294" distL="114300" distR="114300" simplePos="0" relativeHeight="251717120" behindDoc="0" locked="0" layoutInCell="1" allowOverlap="1" wp14:anchorId="3F9524CB" wp14:editId="2DE93EA6">
              <wp:simplePos x="0" y="0"/>
              <wp:positionH relativeFrom="column">
                <wp:posOffset>-9525</wp:posOffset>
              </wp:positionH>
              <wp:positionV relativeFrom="paragraph">
                <wp:posOffset>-123190</wp:posOffset>
              </wp:positionV>
              <wp:extent cx="6299835" cy="0"/>
              <wp:effectExtent l="0" t="0" r="24765" b="19050"/>
              <wp:wrapNone/>
              <wp:docPr id="25" name="Connettore 1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9835" cy="0"/>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6584F8FC" id="Connettore 1 28" o:spid="_x0000_s1026" style="position:absolute;z-index:2517171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75pt,-9.7pt" to="495.3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" strokecolor="white [3212]" strokeweight="1.25pt">
              <o:lock v:ext="edit" shapetype="f"/>
            </v:line>
          </w:pict>
        </mc:Fallback>
      </mc:AlternateContent>
    </w:r>
    <w:r w:rsidRPr="00156D6F">
      <w:rPr>
        <w:rFonts w:asciiTheme="majorHAnsi" w:hAnsiTheme="majorHAnsi" w:cstheme="majorBidi"/>
        <w:noProof/>
      </w:rPr>
      <mc:AlternateContent>
        <mc:Choice Requires="wps">
          <w:drawing>
            <wp:anchor distT="4294967292" distB="4294967292" distL="114300" distR="114300" simplePos="0" relativeHeight="251718144" behindDoc="0" locked="0" layoutInCell="1" allowOverlap="1" wp14:anchorId="4784DB29" wp14:editId="4ED87DA0">
              <wp:simplePos x="0" y="0"/>
              <wp:positionH relativeFrom="margin">
                <wp:posOffset>-23495</wp:posOffset>
              </wp:positionH>
              <wp:positionV relativeFrom="paragraph">
                <wp:posOffset>-2584450</wp:posOffset>
              </wp:positionV>
              <wp:extent cx="6299835" cy="0"/>
              <wp:effectExtent l="0" t="0" r="24765" b="19050"/>
              <wp:wrapNone/>
              <wp:docPr id="26" name="Connettore 1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9835" cy="0"/>
                      </a:xfrm>
                      <a:prstGeom prst="line">
                        <a:avLst/>
                      </a:prstGeom>
                      <a:noFill/>
                      <a:ln w="15875" cap="flat" cmpd="sng" algn="ctr">
                        <a:solidFill>
                          <a:sysClr val="window" lastClr="FFFFFF"/>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11587EC2" id="Connettore 1 12" o:spid="_x0000_s1026" style="position:absolute;z-index:251718144;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1.85pt,-203.5pt" to="494.2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" strokecolor="window" strokeweight="1.25pt">
              <o:lock v:ext="edit" shapetype="f"/>
              <w10:wrap anchorx="margin"/>
            </v:line>
          </w:pict>
        </mc:Fallback>
      </mc:AlternateContent>
    </w:r>
    <w:sdt>
      <w:sdtPr>
        <w:rPr>
          <w:rFonts w:asciiTheme="majorHAnsi" w:eastAsiaTheme="majorEastAsia" w:hAnsiTheme="majorHAnsi" w:cstheme="majorBidi"/>
          <w:highlight w:val="lightGray"/>
        </w:rPr>
        <w:id w:val="-2369920"/>
        <w:docPartObj>
          <w:docPartGallery w:val="Page Numbers (Bottom of Page)"/>
          <w:docPartUnique/>
        </w:docPartObj>
      </w:sdtPr>
      <w:sdtEndPr/>
      <w:sdtContent>
        <w:r>
          <w:rPr>
            <w:noProof/>
            <w:sz w:val="28"/>
            <w:szCs w:val="28"/>
          </w:rPr>
          <mc:AlternateContent>
            <mc:Choice Requires="wps">
              <w:drawing>
                <wp:anchor distT="4294967294" distB="4294967294" distL="114300" distR="114300" simplePos="0" relativeHeight="251715072" behindDoc="0" locked="0" layoutInCell="1" allowOverlap="1" wp14:anchorId="6BFF84AD" wp14:editId="4491C8EC">
                  <wp:simplePos x="0" y="0"/>
                  <wp:positionH relativeFrom="column">
                    <wp:posOffset>-10160</wp:posOffset>
                  </wp:positionH>
                  <wp:positionV relativeFrom="paragraph">
                    <wp:posOffset>-2532381</wp:posOffset>
                  </wp:positionV>
                  <wp:extent cx="6299835" cy="0"/>
                  <wp:effectExtent l="0" t="0" r="24765" b="19050"/>
                  <wp:wrapNone/>
                  <wp:docPr id="27" name="Connettore 1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9835" cy="0"/>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2E192248" id="Connettore 1 12" o:spid="_x0000_s1026" style="position:absolute;z-index:2517150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8pt,-199.4pt" to="495.25pt,-1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" strokecolor="white [3212]" strokeweight="1.25pt">
                  <o:lock v:ext="edit" shapetype="f"/>
                </v:line>
              </w:pict>
            </mc:Fallback>
          </mc:AlternateContent>
        </w:r>
        <w:r>
          <w:rPr>
            <w:noProof/>
            <w:sz w:val="28"/>
            <w:szCs w:val="28"/>
          </w:rPr>
          <mc:AlternateContent>
            <mc:Choice Requires="wps">
              <w:drawing>
                <wp:anchor distT="4294967294" distB="4294967294" distL="114300" distR="114300" simplePos="0" relativeHeight="251714048" behindDoc="0" locked="0" layoutInCell="1" allowOverlap="1" wp14:anchorId="27D5EB1D" wp14:editId="54A98828">
                  <wp:simplePos x="0" y="0"/>
                  <wp:positionH relativeFrom="column">
                    <wp:posOffset>-10160</wp:posOffset>
                  </wp:positionH>
                  <wp:positionV relativeFrom="paragraph">
                    <wp:posOffset>-127636</wp:posOffset>
                  </wp:positionV>
                  <wp:extent cx="6299835" cy="0"/>
                  <wp:effectExtent l="0" t="0" r="24765" b="19050"/>
                  <wp:wrapNone/>
                  <wp:docPr id="28" name="Connettore 1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9835" cy="0"/>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046E29B8" id="Connettore 1 28" o:spid="_x0000_s1026" style="position:absolute;z-index:2517140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8pt,-10.05pt" to="495.2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" strokecolor="white [3212]" strokeweight="1.25pt">
                  <o:lock v:ext="edit" shapetype="f"/>
                </v:line>
              </w:pict>
            </mc:Fallback>
          </mc:AlternateContent>
        </w:r>
        <w:sdt>
          <w:sdtPr>
            <w:rPr>
              <w:rFonts w:asciiTheme="majorHAnsi" w:eastAsiaTheme="majorEastAsia" w:hAnsiTheme="majorHAnsi" w:cstheme="majorBidi"/>
              <w:highlight w:val="lightGray"/>
            </w:rPr>
            <w:id w:val="1323778689"/>
            <w:docPartObj>
              <w:docPartGallery w:val="Page Numbers (Margins)"/>
              <w:docPartUnique/>
            </w:docPartObj>
          </w:sdtPr>
          <w:sdtEndPr/>
          <w:sdtContent>
            <w:r>
              <w:rPr>
                <w:rFonts w:ascii="Arial Narrow" w:hAnsi="Arial Narrow"/>
                <w:noProof/>
                <w:color w:val="FFFFFF" w:themeColor="background1"/>
              </w:rPr>
              <mc:AlternateContent>
                <mc:Choice Requires="wps">
                  <w:drawing>
                    <wp:anchor distT="0" distB="0" distL="114300" distR="114300" simplePos="0" relativeHeight="251713024" behindDoc="0" locked="0" layoutInCell="0" allowOverlap="1" wp14:anchorId="06D95175" wp14:editId="5A16B0B2">
                      <wp:simplePos x="0" y="0"/>
                      <wp:positionH relativeFrom="rightMargin">
                        <wp:posOffset>179070</wp:posOffset>
                      </wp:positionH>
                      <wp:positionV relativeFrom="margin">
                        <wp:posOffset>9758045</wp:posOffset>
                      </wp:positionV>
                      <wp:extent cx="398780" cy="329565"/>
                      <wp:effectExtent l="0" t="0" r="0" b="0"/>
                      <wp:wrapNone/>
                      <wp:docPr id="30"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 cy="329565"/>
                              </a:xfrm>
                              <a:prstGeom prst="rect">
                                <a:avLst/>
                              </a:prstGeom>
                              <a:noFill/>
                            </wps:spPr>
                            <wps:txbx>
                              <w:txbxContent>
                                <w:p w14:paraId="4E37D0CB" w14:textId="68A13076" w:rsidR="00EE139B" w:rsidRPr="001B745D" w:rsidRDefault="00EE139B" w:rsidP="00CA469E">
                                  <w:pPr>
                                    <w:jc w:val="right"/>
                                    <w:rPr>
                                      <w:rFonts w:ascii="Arial" w:hAnsi="Arial" w:cs="Arial"/>
                                      <w:b/>
                                      <w:color w:val="244061" w:themeColor="accent1" w:themeShade="80"/>
                                      <w:sz w:val="20"/>
                                      <w:szCs w:val="20"/>
                                    </w:rPr>
                                  </w:pPr>
                                  <w:r w:rsidRPr="00CA469E">
                                    <w:rPr>
                                      <w:rFonts w:ascii="Arial" w:hAnsi="Arial" w:cs="Arial"/>
                                      <w:b/>
                                      <w:color w:val="244061" w:themeColor="accent1" w:themeShade="80"/>
                                      <w:sz w:val="20"/>
                                      <w:szCs w:val="20"/>
                                    </w:rPr>
                                    <w:fldChar w:fldCharType="begin"/>
                                  </w:r>
                                  <w:r w:rsidRPr="00CA469E">
                                    <w:rPr>
                                      <w:rFonts w:ascii="Arial" w:hAnsi="Arial" w:cs="Arial"/>
                                      <w:b/>
                                      <w:color w:val="244061" w:themeColor="accent1" w:themeShade="80"/>
                                      <w:sz w:val="20"/>
                                      <w:szCs w:val="20"/>
                                    </w:rPr>
                                    <w:instrText>PAGE   \* MERGEFORMAT</w:instrText>
                                  </w:r>
                                  <w:r w:rsidRPr="00CA469E">
                                    <w:rPr>
                                      <w:rFonts w:ascii="Arial" w:hAnsi="Arial" w:cs="Arial"/>
                                      <w:b/>
                                      <w:color w:val="244061" w:themeColor="accent1" w:themeShade="80"/>
                                      <w:sz w:val="20"/>
                                      <w:szCs w:val="20"/>
                                    </w:rPr>
                                    <w:fldChar w:fldCharType="separate"/>
                                  </w:r>
                                  <w:r w:rsidR="006610F2">
                                    <w:rPr>
                                      <w:rFonts w:ascii="Arial" w:hAnsi="Arial" w:cs="Arial"/>
                                      <w:b/>
                                      <w:noProof/>
                                      <w:color w:val="244061" w:themeColor="accent1" w:themeShade="80"/>
                                      <w:sz w:val="20"/>
                                      <w:szCs w:val="20"/>
                                    </w:rPr>
                                    <w:t>13</w:t>
                                  </w:r>
                                  <w:r w:rsidRPr="00CA469E">
                                    <w:rPr>
                                      <w:rFonts w:ascii="Arial" w:hAnsi="Arial" w:cs="Arial"/>
                                      <w:b/>
                                      <w:color w:val="244061" w:themeColor="accent1" w:themeShade="80"/>
                                      <w:sz w:val="20"/>
                                      <w:szCs w:val="20"/>
                                    </w:rPr>
                                    <w:fldChar w:fldCharType="end"/>
                                  </w:r>
                                </w:p>
                              </w:txbxContent>
                            </wps:txbx>
                            <wps:bodyPr rot="0" vert="horz"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06D95175" id="_x0000_s1031" style="position:absolute;margin-left:14.1pt;margin-top:768.35pt;width:31.4pt;height:25.95pt;z-index:2517130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" o:allowincell="f" filled="f" stroked="f">
                      <v:textbox>
                        <w:txbxContent>
                          <w:p w14:paraId="4E37D0CB" w14:textId="68A13076" w:rsidR="00EE139B" w:rsidRPr="001B745D" w:rsidRDefault="00EE139B" w:rsidP="00CA469E">
                            <w:pPr>
                              <w:jc w:val="right"/>
                              <w:rPr>
                                <w:rFonts w:ascii="Arial" w:hAnsi="Arial" w:cs="Arial"/>
                                <w:b/>
                                <w:color w:val="244061" w:themeColor="accent1" w:themeShade="80"/>
                                <w:sz w:val="20"/>
                                <w:szCs w:val="20"/>
                              </w:rPr>
                            </w:pPr>
                            <w:r w:rsidRPr="00CA469E">
                              <w:rPr>
                                <w:rFonts w:ascii="Arial" w:hAnsi="Arial" w:cs="Arial"/>
                                <w:b/>
                                <w:color w:val="244061" w:themeColor="accent1" w:themeShade="80"/>
                                <w:sz w:val="20"/>
                                <w:szCs w:val="20"/>
                              </w:rPr>
                              <w:fldChar w:fldCharType="begin"/>
                            </w:r>
                            <w:r w:rsidRPr="00CA469E">
                              <w:rPr>
                                <w:rFonts w:ascii="Arial" w:hAnsi="Arial" w:cs="Arial"/>
                                <w:b/>
                                <w:color w:val="244061" w:themeColor="accent1" w:themeShade="80"/>
                                <w:sz w:val="20"/>
                                <w:szCs w:val="20"/>
                              </w:rPr>
                              <w:instrText>PAGE   \* MERGEFORMAT</w:instrText>
                            </w:r>
                            <w:r w:rsidRPr="00CA469E">
                              <w:rPr>
                                <w:rFonts w:ascii="Arial" w:hAnsi="Arial" w:cs="Arial"/>
                                <w:b/>
                                <w:color w:val="244061" w:themeColor="accent1" w:themeShade="80"/>
                                <w:sz w:val="20"/>
                                <w:szCs w:val="20"/>
                              </w:rPr>
                              <w:fldChar w:fldCharType="separate"/>
                            </w:r>
                            <w:r w:rsidR="006610F2">
                              <w:rPr>
                                <w:rFonts w:ascii="Arial" w:hAnsi="Arial" w:cs="Arial"/>
                                <w:b/>
                                <w:noProof/>
                                <w:color w:val="244061" w:themeColor="accent1" w:themeShade="80"/>
                                <w:sz w:val="20"/>
                                <w:szCs w:val="20"/>
                              </w:rPr>
                              <w:t>13</w:t>
                            </w:r>
                            <w:r w:rsidRPr="00CA469E">
                              <w:rPr>
                                <w:rFonts w:ascii="Arial" w:hAnsi="Arial" w:cs="Arial"/>
                                <w:b/>
                                <w:color w:val="244061" w:themeColor="accent1" w:themeShade="80"/>
                                <w:sz w:val="20"/>
                                <w:szCs w:val="20"/>
                              </w:rPr>
                              <w:fldChar w:fldCharType="end"/>
                            </w:r>
                          </w:p>
                        </w:txbxContent>
                      </v:textbox>
                      <w10:wrap anchorx="margin" anchory="margin"/>
                    </v:rect>
                  </w:pict>
                </mc:Fallback>
              </mc:AlternateContent>
            </w:r>
            <w:r>
              <w:rPr>
                <w:noProof/>
              </w:rPr>
              <w:drawing>
                <wp:anchor distT="0" distB="0" distL="114300" distR="114300" simplePos="0" relativeHeight="251712000" behindDoc="0" locked="0" layoutInCell="1" allowOverlap="1" wp14:anchorId="33858989" wp14:editId="24FA23B0">
                  <wp:simplePos x="0" y="0"/>
                  <wp:positionH relativeFrom="column">
                    <wp:posOffset>5678170</wp:posOffset>
                  </wp:positionH>
                  <wp:positionV relativeFrom="paragraph">
                    <wp:posOffset>-263525</wp:posOffset>
                  </wp:positionV>
                  <wp:extent cx="1256030" cy="788035"/>
                  <wp:effectExtent l="0" t="0" r="1270" b="0"/>
                  <wp:wrapNone/>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ateReport_Tavola disegno 1 copia 2.png"/>
                          <pic:cNvPicPr/>
                        </pic:nvPicPr>
                        <pic:blipFill>
                          <a:blip r:embed="rId1"/>
                          <a:stretch>
                            <a:fillRect/>
                          </a:stretch>
                        </pic:blipFill>
                        <pic:spPr>
                          <a:xfrm>
                            <a:off x="0" y="0"/>
                            <a:ext cx="1256030" cy="788035"/>
                          </a:xfrm>
                          <a:prstGeom prst="rect">
                            <a:avLst/>
                          </a:prstGeom>
                        </pic:spPr>
                      </pic:pic>
                    </a:graphicData>
                  </a:graphic>
                </wp:anchor>
              </w:drawing>
            </w:r>
          </w:sdtContent>
        </w:sdt>
      </w:sdtContent>
    </w:sdt>
  </w:p>
  <w:p w14:paraId="5E87253C" w14:textId="77777777" w:rsidR="00EE139B" w:rsidRDefault="00EE139B" w:rsidP="00842757">
    <w:pPr>
      <w:pStyle w:val="Pidipagina"/>
      <w:tabs>
        <w:tab w:val="clear" w:pos="4819"/>
        <w:tab w:val="clear" w:pos="9638"/>
        <w:tab w:val="left" w:pos="7773"/>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F537C0" w14:textId="77777777" w:rsidR="0052079E" w:rsidRDefault="0052079E">
      <w:r>
        <w:separator/>
      </w:r>
    </w:p>
  </w:footnote>
  <w:footnote w:type="continuationSeparator" w:id="0">
    <w:p w14:paraId="59E24EE0" w14:textId="77777777" w:rsidR="0052079E" w:rsidRDefault="005207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2339"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497D" w:themeFill="text2"/>
      <w:tblLook w:val="04A0" w:firstRow="1" w:lastRow="0" w:firstColumn="1" w:lastColumn="0" w:noHBand="0" w:noVBand="1"/>
    </w:tblPr>
    <w:tblGrid>
      <w:gridCol w:w="9323"/>
      <w:gridCol w:w="3016"/>
    </w:tblGrid>
    <w:tr w:rsidR="00EE139B" w:rsidRPr="00DD6CCE" w14:paraId="72D8EBE0" w14:textId="77777777" w:rsidTr="00AF1E2A">
      <w:trPr>
        <w:trHeight w:hRule="exact" w:val="567"/>
      </w:trPr>
      <w:tc>
        <w:tcPr>
          <w:tcW w:w="9323" w:type="dxa"/>
          <w:shd w:val="clear" w:color="auto" w:fill="1F497D" w:themeFill="text2"/>
          <w:vAlign w:val="center"/>
        </w:tcPr>
        <w:p w14:paraId="6B23B894" w14:textId="72390752" w:rsidR="00EE139B" w:rsidRPr="005D6783" w:rsidRDefault="00EE139B" w:rsidP="001A3DBB">
          <w:pPr>
            <w:pStyle w:val="Intestazione"/>
            <w:spacing w:before="120"/>
            <w:ind w:left="567"/>
            <w:jc w:val="left"/>
            <w:rPr>
              <w:rFonts w:ascii="Arial Narrow" w:hAnsi="Arial Narrow"/>
              <w:color w:val="FFFFFF" w:themeColor="background1"/>
              <w:sz w:val="24"/>
            </w:rPr>
          </w:pPr>
          <w:r>
            <w:rPr>
              <w:rFonts w:ascii="Arial Narrow" w:hAnsi="Arial Narrow"/>
              <w:color w:val="FFFFFF" w:themeColor="background1"/>
              <w:sz w:val="24"/>
            </w:rPr>
            <w:t>LA SPESA DEI COMUNI PER I SERVIZI SOCIALI</w:t>
          </w:r>
        </w:p>
      </w:tc>
      <w:tc>
        <w:tcPr>
          <w:tcW w:w="3016" w:type="dxa"/>
          <w:shd w:val="clear" w:color="auto" w:fill="1F497D" w:themeFill="text2"/>
          <w:vAlign w:val="center"/>
        </w:tcPr>
        <w:p w14:paraId="546CF3FC" w14:textId="77777777" w:rsidR="00EE139B" w:rsidRPr="00DD6CCE" w:rsidRDefault="00EE139B" w:rsidP="001A3DBB">
          <w:pPr>
            <w:pStyle w:val="Intestazione"/>
            <w:tabs>
              <w:tab w:val="left" w:pos="2160"/>
            </w:tabs>
            <w:ind w:left="284" w:hanging="100"/>
            <w:jc w:val="left"/>
            <w:rPr>
              <w:color w:val="FFFFFF" w:themeColor="background1"/>
            </w:rPr>
          </w:pPr>
          <w:r>
            <w:rPr>
              <w:noProof/>
              <w:color w:val="FFFFFF" w:themeColor="background1"/>
            </w:rPr>
            <w:drawing>
              <wp:anchor distT="0" distB="0" distL="114300" distR="114300" simplePos="0" relativeHeight="251696640" behindDoc="0" locked="0" layoutInCell="1" allowOverlap="1" wp14:anchorId="06DDEEB5" wp14:editId="0B1B52D3">
                <wp:simplePos x="0" y="0"/>
                <wp:positionH relativeFrom="column">
                  <wp:posOffset>598805</wp:posOffset>
                </wp:positionH>
                <wp:positionV relativeFrom="paragraph">
                  <wp:posOffset>-1905</wp:posOffset>
                </wp:positionV>
                <wp:extent cx="695325" cy="198120"/>
                <wp:effectExtent l="0" t="0" r="9525"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AllWhite-01.png"/>
                        <pic:cNvPicPr/>
                      </pic:nvPicPr>
                      <pic:blipFill>
                        <a:blip r:embed="rId1"/>
                        <a:stretch>
                          <a:fillRect/>
                        </a:stretch>
                      </pic:blipFill>
                      <pic:spPr>
                        <a:xfrm>
                          <a:off x="0" y="0"/>
                          <a:ext cx="695325" cy="198120"/>
                        </a:xfrm>
                        <a:prstGeom prst="rect">
                          <a:avLst/>
                        </a:prstGeom>
                      </pic:spPr>
                    </pic:pic>
                  </a:graphicData>
                </a:graphic>
              </wp:anchor>
            </w:drawing>
          </w:r>
        </w:p>
      </w:tc>
    </w:tr>
  </w:tbl>
  <w:p w14:paraId="706B6E8F" w14:textId="77777777" w:rsidR="00EE139B" w:rsidRDefault="00EE139B">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2AB1B" w14:textId="77777777" w:rsidR="00EE139B" w:rsidRDefault="00EE139B" w:rsidP="00DF2FE2">
    <w:pPr>
      <w:pStyle w:val="Intestazione"/>
      <w:tabs>
        <w:tab w:val="left" w:pos="0"/>
      </w:tabs>
      <w:ind w:left="-851"/>
    </w:pPr>
    <w:r>
      <w:rPr>
        <w:noProof/>
      </w:rPr>
      <mc:AlternateContent>
        <mc:Choice Requires="wps">
          <w:drawing>
            <wp:anchor distT="0" distB="0" distL="114300" distR="114300" simplePos="0" relativeHeight="251657216" behindDoc="0" locked="0" layoutInCell="1" allowOverlap="1" wp14:anchorId="5C87ADDD" wp14:editId="5C25CFED">
              <wp:simplePos x="0" y="0"/>
              <wp:positionH relativeFrom="column">
                <wp:posOffset>5397500</wp:posOffset>
              </wp:positionH>
              <wp:positionV relativeFrom="paragraph">
                <wp:posOffset>1270</wp:posOffset>
              </wp:positionV>
              <wp:extent cx="1625600" cy="396240"/>
              <wp:effectExtent l="0" t="0" r="0" b="381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396240"/>
                      </a:xfrm>
                      <a:prstGeom prst="rect">
                        <a:avLst/>
                      </a:prstGeom>
                      <a:solidFill>
                        <a:schemeClr val="tx2"/>
                      </a:solidFill>
                      <a:ln>
                        <a:noFill/>
                      </a:ln>
                    </wps:spPr>
                    <wps:txbx>
                      <w:txbxContent>
                        <w:p w14:paraId="419E8D9D" w14:textId="77777777" w:rsidR="00EE139B" w:rsidRPr="00A804E3" w:rsidRDefault="00EE139B" w:rsidP="00DF2FE2">
                          <w:pPr>
                            <w:autoSpaceDE w:val="0"/>
                            <w:autoSpaceDN w:val="0"/>
                            <w:adjustRightInd w:val="0"/>
                            <w:jc w:val="center"/>
                            <w:rPr>
                              <w:rFonts w:ascii="Arial Narrow" w:hAnsi="Arial Narrow" w:cs="Arial"/>
                              <w:b/>
                              <w:bCs/>
                              <w:color w:val="FFFFFF" w:themeColor="background1"/>
                              <w:sz w:val="8"/>
                              <w:szCs w:val="26"/>
                            </w:rPr>
                          </w:pPr>
                        </w:p>
                        <w:p w14:paraId="7AAB9560" w14:textId="583E1DAB" w:rsidR="00EE139B" w:rsidRPr="00690C34" w:rsidRDefault="009C067F" w:rsidP="00C309B1">
                          <w:pPr>
                            <w:autoSpaceDE w:val="0"/>
                            <w:autoSpaceDN w:val="0"/>
                            <w:adjustRightInd w:val="0"/>
                            <w:spacing w:before="40"/>
                            <w:jc w:val="center"/>
                            <w:rPr>
                              <w:rFonts w:ascii="Arial Narrow" w:hAnsi="Arial Narrow" w:cs="Arial"/>
                              <w:b/>
                              <w:bCs/>
                              <w:color w:val="FFFFFF" w:themeColor="background1"/>
                              <w:sz w:val="26"/>
                              <w:szCs w:val="26"/>
                            </w:rPr>
                          </w:pPr>
                          <w:r>
                            <w:rPr>
                              <w:rFonts w:ascii="Arial Narrow" w:hAnsi="Arial Narrow" w:cs="Arial"/>
                              <w:b/>
                              <w:bCs/>
                              <w:color w:val="FFFFFF" w:themeColor="background1"/>
                              <w:sz w:val="26"/>
                              <w:szCs w:val="26"/>
                            </w:rPr>
                            <w:t>19</w:t>
                          </w:r>
                          <w:r w:rsidR="00EE139B" w:rsidRPr="009C067F">
                            <w:rPr>
                              <w:rFonts w:ascii="Arial Narrow" w:hAnsi="Arial Narrow" w:cs="Arial"/>
                              <w:b/>
                              <w:bCs/>
                              <w:color w:val="FFFFFF" w:themeColor="background1"/>
                              <w:sz w:val="26"/>
                              <w:szCs w:val="26"/>
                            </w:rPr>
                            <w:t xml:space="preserve"> giugno</w:t>
                          </w:r>
                          <w:r w:rsidR="00EE139B" w:rsidRPr="00886799">
                            <w:rPr>
                              <w:rFonts w:ascii="Arial Narrow" w:hAnsi="Arial Narrow" w:cs="Arial"/>
                              <w:b/>
                              <w:bCs/>
                              <w:color w:val="FFFFFF" w:themeColor="background1"/>
                              <w:sz w:val="26"/>
                              <w:szCs w:val="26"/>
                            </w:rPr>
                            <w:t xml:space="preserve"> </w:t>
                          </w:r>
                          <w:r w:rsidR="00EE139B" w:rsidRPr="00123E17">
                            <w:rPr>
                              <w:rFonts w:ascii="Arial Narrow" w:hAnsi="Arial Narrow" w:cs="Arial"/>
                              <w:b/>
                              <w:bCs/>
                              <w:color w:val="FFFFFF" w:themeColor="background1"/>
                              <w:sz w:val="26"/>
                              <w:szCs w:val="26"/>
                            </w:rPr>
                            <w:t>20</w:t>
                          </w:r>
                          <w:r w:rsidR="00EE139B">
                            <w:rPr>
                              <w:rFonts w:ascii="Arial Narrow" w:hAnsi="Arial Narrow" w:cs="Arial"/>
                              <w:b/>
                              <w:bCs/>
                              <w:color w:val="FFFFFF" w:themeColor="background1"/>
                              <w:sz w:val="26"/>
                              <w:szCs w:val="26"/>
                            </w:rPr>
                            <w:t>24</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5C87ADDD" id="_x0000_t202" coordsize="21600,21600" o:spt="202" path="m,l,21600r21600,l21600,xe">
              <v:stroke joinstyle="miter"/>
              <v:path gradientshapeok="t" o:connecttype="rect"/>
            </v:shapetype>
            <v:shape id="Text Box 2" o:spid="_x0000_s1028" type="#_x0000_t202" style="position:absolute;left:0;text-align:left;margin-left:425pt;margin-top:.1pt;width:128pt;height:31.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" fillcolor="#1f497d [3215]" stroked="f">
              <v:textbox inset="1.5mm,,1.5mm">
                <w:txbxContent>
                  <w:p w14:paraId="419E8D9D" w14:textId="77777777" w:rsidR="00EE139B" w:rsidRPr="00A804E3" w:rsidRDefault="00EE139B" w:rsidP="00DF2FE2">
                    <w:pPr>
                      <w:autoSpaceDE w:val="0"/>
                      <w:autoSpaceDN w:val="0"/>
                      <w:adjustRightInd w:val="0"/>
                      <w:jc w:val="center"/>
                      <w:rPr>
                        <w:rFonts w:ascii="Arial Narrow" w:hAnsi="Arial Narrow" w:cs="Arial"/>
                        <w:b/>
                        <w:bCs/>
                        <w:color w:val="FFFFFF" w:themeColor="background1"/>
                        <w:sz w:val="8"/>
                        <w:szCs w:val="26"/>
                      </w:rPr>
                    </w:pPr>
                  </w:p>
                  <w:p w14:paraId="7AAB9560" w14:textId="583E1DAB" w:rsidR="00EE139B" w:rsidRPr="00690C34" w:rsidRDefault="009C067F" w:rsidP="00C309B1">
                    <w:pPr>
                      <w:autoSpaceDE w:val="0"/>
                      <w:autoSpaceDN w:val="0"/>
                      <w:adjustRightInd w:val="0"/>
                      <w:spacing w:before="40"/>
                      <w:jc w:val="center"/>
                      <w:rPr>
                        <w:rFonts w:ascii="Arial Narrow" w:hAnsi="Arial Narrow" w:cs="Arial"/>
                        <w:b/>
                        <w:bCs/>
                        <w:color w:val="FFFFFF" w:themeColor="background1"/>
                        <w:sz w:val="26"/>
                        <w:szCs w:val="26"/>
                      </w:rPr>
                    </w:pPr>
                    <w:r>
                      <w:rPr>
                        <w:rFonts w:ascii="Arial Narrow" w:hAnsi="Arial Narrow" w:cs="Arial"/>
                        <w:b/>
                        <w:bCs/>
                        <w:color w:val="FFFFFF" w:themeColor="background1"/>
                        <w:sz w:val="26"/>
                        <w:szCs w:val="26"/>
                      </w:rPr>
                      <w:t>19</w:t>
                    </w:r>
                    <w:r w:rsidR="00EE139B" w:rsidRPr="009C067F">
                      <w:rPr>
                        <w:rFonts w:ascii="Arial Narrow" w:hAnsi="Arial Narrow" w:cs="Arial"/>
                        <w:b/>
                        <w:bCs/>
                        <w:color w:val="FFFFFF" w:themeColor="background1"/>
                        <w:sz w:val="26"/>
                        <w:szCs w:val="26"/>
                      </w:rPr>
                      <w:t xml:space="preserve"> giugno</w:t>
                    </w:r>
                    <w:r w:rsidR="00EE139B" w:rsidRPr="00886799">
                      <w:rPr>
                        <w:rFonts w:ascii="Arial Narrow" w:hAnsi="Arial Narrow" w:cs="Arial"/>
                        <w:b/>
                        <w:bCs/>
                        <w:color w:val="FFFFFF" w:themeColor="background1"/>
                        <w:sz w:val="26"/>
                        <w:szCs w:val="26"/>
                      </w:rPr>
                      <w:t xml:space="preserve"> </w:t>
                    </w:r>
                    <w:r w:rsidR="00EE139B" w:rsidRPr="00123E17">
                      <w:rPr>
                        <w:rFonts w:ascii="Arial Narrow" w:hAnsi="Arial Narrow" w:cs="Arial"/>
                        <w:b/>
                        <w:bCs/>
                        <w:color w:val="FFFFFF" w:themeColor="background1"/>
                        <w:sz w:val="26"/>
                        <w:szCs w:val="26"/>
                      </w:rPr>
                      <w:t>20</w:t>
                    </w:r>
                    <w:r w:rsidR="00EE139B">
                      <w:rPr>
                        <w:rFonts w:ascii="Arial Narrow" w:hAnsi="Arial Narrow" w:cs="Arial"/>
                        <w:b/>
                        <w:bCs/>
                        <w:color w:val="FFFFFF" w:themeColor="background1"/>
                        <w:sz w:val="26"/>
                        <w:szCs w:val="26"/>
                      </w:rPr>
                      <w:t>24</w:t>
                    </w:r>
                  </w:p>
                </w:txbxContent>
              </v:textbox>
            </v:shape>
          </w:pict>
        </mc:Fallback>
      </mc:AlternateContent>
    </w:r>
    <w:r>
      <w:rPr>
        <w:noProof/>
      </w:rPr>
      <w:drawing>
        <wp:inline distT="0" distB="0" distL="0" distR="0" wp14:anchorId="31A68C5E" wp14:editId="5D63C0BF">
          <wp:extent cx="7560000" cy="1645200"/>
          <wp:effectExtent l="0" t="0" r="0" b="635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estateReport_Tavola disegno 1.jpg"/>
                  <pic:cNvPicPr/>
                </pic:nvPicPr>
                <pic:blipFill>
                  <a:blip r:embed="rId1"/>
                  <a:stretch>
                    <a:fillRect/>
                  </a:stretch>
                </pic:blipFill>
                <pic:spPr>
                  <a:xfrm>
                    <a:off x="0" y="0"/>
                    <a:ext cx="7560000" cy="16452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31383"/>
    <w:multiLevelType w:val="hybridMultilevel"/>
    <w:tmpl w:val="4A4A6C0C"/>
    <w:lvl w:ilvl="0" w:tplc="AD2873DC">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3B538A7"/>
    <w:multiLevelType w:val="hybridMultilevel"/>
    <w:tmpl w:val="6BE010C2"/>
    <w:lvl w:ilvl="0" w:tplc="B596D914">
      <w:numFmt w:val="bullet"/>
      <w:lvlText w:val="-"/>
      <w:lvlJc w:val="left"/>
      <w:pPr>
        <w:ind w:left="819" w:hanging="360"/>
      </w:pPr>
      <w:rPr>
        <w:rFonts w:ascii="Georgia" w:eastAsia="Times New Roman" w:hAnsi="Georgia" w:cs="Arial" w:hint="default"/>
      </w:rPr>
    </w:lvl>
    <w:lvl w:ilvl="1" w:tplc="04100003" w:tentative="1">
      <w:start w:val="1"/>
      <w:numFmt w:val="bullet"/>
      <w:lvlText w:val="o"/>
      <w:lvlJc w:val="left"/>
      <w:pPr>
        <w:ind w:left="1539" w:hanging="360"/>
      </w:pPr>
      <w:rPr>
        <w:rFonts w:ascii="Courier New" w:hAnsi="Courier New" w:cs="Courier New" w:hint="default"/>
      </w:rPr>
    </w:lvl>
    <w:lvl w:ilvl="2" w:tplc="04100005" w:tentative="1">
      <w:start w:val="1"/>
      <w:numFmt w:val="bullet"/>
      <w:lvlText w:val=""/>
      <w:lvlJc w:val="left"/>
      <w:pPr>
        <w:ind w:left="2259" w:hanging="360"/>
      </w:pPr>
      <w:rPr>
        <w:rFonts w:ascii="Wingdings" w:hAnsi="Wingdings" w:hint="default"/>
      </w:rPr>
    </w:lvl>
    <w:lvl w:ilvl="3" w:tplc="04100001" w:tentative="1">
      <w:start w:val="1"/>
      <w:numFmt w:val="bullet"/>
      <w:lvlText w:val=""/>
      <w:lvlJc w:val="left"/>
      <w:pPr>
        <w:ind w:left="2979" w:hanging="360"/>
      </w:pPr>
      <w:rPr>
        <w:rFonts w:ascii="Symbol" w:hAnsi="Symbol" w:hint="default"/>
      </w:rPr>
    </w:lvl>
    <w:lvl w:ilvl="4" w:tplc="04100003" w:tentative="1">
      <w:start w:val="1"/>
      <w:numFmt w:val="bullet"/>
      <w:lvlText w:val="o"/>
      <w:lvlJc w:val="left"/>
      <w:pPr>
        <w:ind w:left="3699" w:hanging="360"/>
      </w:pPr>
      <w:rPr>
        <w:rFonts w:ascii="Courier New" w:hAnsi="Courier New" w:cs="Courier New" w:hint="default"/>
      </w:rPr>
    </w:lvl>
    <w:lvl w:ilvl="5" w:tplc="04100005" w:tentative="1">
      <w:start w:val="1"/>
      <w:numFmt w:val="bullet"/>
      <w:lvlText w:val=""/>
      <w:lvlJc w:val="left"/>
      <w:pPr>
        <w:ind w:left="4419" w:hanging="360"/>
      </w:pPr>
      <w:rPr>
        <w:rFonts w:ascii="Wingdings" w:hAnsi="Wingdings" w:hint="default"/>
      </w:rPr>
    </w:lvl>
    <w:lvl w:ilvl="6" w:tplc="04100001" w:tentative="1">
      <w:start w:val="1"/>
      <w:numFmt w:val="bullet"/>
      <w:lvlText w:val=""/>
      <w:lvlJc w:val="left"/>
      <w:pPr>
        <w:ind w:left="5139" w:hanging="360"/>
      </w:pPr>
      <w:rPr>
        <w:rFonts w:ascii="Symbol" w:hAnsi="Symbol" w:hint="default"/>
      </w:rPr>
    </w:lvl>
    <w:lvl w:ilvl="7" w:tplc="04100003" w:tentative="1">
      <w:start w:val="1"/>
      <w:numFmt w:val="bullet"/>
      <w:lvlText w:val="o"/>
      <w:lvlJc w:val="left"/>
      <w:pPr>
        <w:ind w:left="5859" w:hanging="360"/>
      </w:pPr>
      <w:rPr>
        <w:rFonts w:ascii="Courier New" w:hAnsi="Courier New" w:cs="Courier New" w:hint="default"/>
      </w:rPr>
    </w:lvl>
    <w:lvl w:ilvl="8" w:tplc="04100005" w:tentative="1">
      <w:start w:val="1"/>
      <w:numFmt w:val="bullet"/>
      <w:lvlText w:val=""/>
      <w:lvlJc w:val="left"/>
      <w:pPr>
        <w:ind w:left="6579" w:hanging="360"/>
      </w:pPr>
      <w:rPr>
        <w:rFonts w:ascii="Wingdings" w:hAnsi="Wingdings" w:hint="default"/>
      </w:rPr>
    </w:lvl>
  </w:abstractNum>
  <w:abstractNum w:abstractNumId="2" w15:restartNumberingAfterBreak="0">
    <w:nsid w:val="19404EEC"/>
    <w:multiLevelType w:val="hybridMultilevel"/>
    <w:tmpl w:val="0284FF06"/>
    <w:lvl w:ilvl="0" w:tplc="1048FE38">
      <w:start w:val="1"/>
      <w:numFmt w:val="bullet"/>
      <w:lvlText w:val=" "/>
      <w:lvlJc w:val="left"/>
      <w:pPr>
        <w:tabs>
          <w:tab w:val="num" w:pos="720"/>
        </w:tabs>
        <w:ind w:left="720" w:hanging="360"/>
      </w:pPr>
      <w:rPr>
        <w:rFonts w:ascii="Tw Cen MT" w:hAnsi="Tw Cen MT" w:hint="default"/>
      </w:rPr>
    </w:lvl>
    <w:lvl w:ilvl="1" w:tplc="70A25A20" w:tentative="1">
      <w:start w:val="1"/>
      <w:numFmt w:val="bullet"/>
      <w:lvlText w:val=" "/>
      <w:lvlJc w:val="left"/>
      <w:pPr>
        <w:tabs>
          <w:tab w:val="num" w:pos="1440"/>
        </w:tabs>
        <w:ind w:left="1440" w:hanging="360"/>
      </w:pPr>
      <w:rPr>
        <w:rFonts w:ascii="Tw Cen MT" w:hAnsi="Tw Cen MT" w:hint="default"/>
      </w:rPr>
    </w:lvl>
    <w:lvl w:ilvl="2" w:tplc="DA3E0286" w:tentative="1">
      <w:start w:val="1"/>
      <w:numFmt w:val="bullet"/>
      <w:lvlText w:val=" "/>
      <w:lvlJc w:val="left"/>
      <w:pPr>
        <w:tabs>
          <w:tab w:val="num" w:pos="2160"/>
        </w:tabs>
        <w:ind w:left="2160" w:hanging="360"/>
      </w:pPr>
      <w:rPr>
        <w:rFonts w:ascii="Tw Cen MT" w:hAnsi="Tw Cen MT" w:hint="default"/>
      </w:rPr>
    </w:lvl>
    <w:lvl w:ilvl="3" w:tplc="1A8A5F68" w:tentative="1">
      <w:start w:val="1"/>
      <w:numFmt w:val="bullet"/>
      <w:lvlText w:val=" "/>
      <w:lvlJc w:val="left"/>
      <w:pPr>
        <w:tabs>
          <w:tab w:val="num" w:pos="2880"/>
        </w:tabs>
        <w:ind w:left="2880" w:hanging="360"/>
      </w:pPr>
      <w:rPr>
        <w:rFonts w:ascii="Tw Cen MT" w:hAnsi="Tw Cen MT" w:hint="default"/>
      </w:rPr>
    </w:lvl>
    <w:lvl w:ilvl="4" w:tplc="8926F236" w:tentative="1">
      <w:start w:val="1"/>
      <w:numFmt w:val="bullet"/>
      <w:lvlText w:val=" "/>
      <w:lvlJc w:val="left"/>
      <w:pPr>
        <w:tabs>
          <w:tab w:val="num" w:pos="3600"/>
        </w:tabs>
        <w:ind w:left="3600" w:hanging="360"/>
      </w:pPr>
      <w:rPr>
        <w:rFonts w:ascii="Tw Cen MT" w:hAnsi="Tw Cen MT" w:hint="default"/>
      </w:rPr>
    </w:lvl>
    <w:lvl w:ilvl="5" w:tplc="C8F2A6A2" w:tentative="1">
      <w:start w:val="1"/>
      <w:numFmt w:val="bullet"/>
      <w:lvlText w:val=" "/>
      <w:lvlJc w:val="left"/>
      <w:pPr>
        <w:tabs>
          <w:tab w:val="num" w:pos="4320"/>
        </w:tabs>
        <w:ind w:left="4320" w:hanging="360"/>
      </w:pPr>
      <w:rPr>
        <w:rFonts w:ascii="Tw Cen MT" w:hAnsi="Tw Cen MT" w:hint="default"/>
      </w:rPr>
    </w:lvl>
    <w:lvl w:ilvl="6" w:tplc="292CEA88" w:tentative="1">
      <w:start w:val="1"/>
      <w:numFmt w:val="bullet"/>
      <w:lvlText w:val=" "/>
      <w:lvlJc w:val="left"/>
      <w:pPr>
        <w:tabs>
          <w:tab w:val="num" w:pos="5040"/>
        </w:tabs>
        <w:ind w:left="5040" w:hanging="360"/>
      </w:pPr>
      <w:rPr>
        <w:rFonts w:ascii="Tw Cen MT" w:hAnsi="Tw Cen MT" w:hint="default"/>
      </w:rPr>
    </w:lvl>
    <w:lvl w:ilvl="7" w:tplc="0B96CEE0" w:tentative="1">
      <w:start w:val="1"/>
      <w:numFmt w:val="bullet"/>
      <w:lvlText w:val=" "/>
      <w:lvlJc w:val="left"/>
      <w:pPr>
        <w:tabs>
          <w:tab w:val="num" w:pos="5760"/>
        </w:tabs>
        <w:ind w:left="5760" w:hanging="360"/>
      </w:pPr>
      <w:rPr>
        <w:rFonts w:ascii="Tw Cen MT" w:hAnsi="Tw Cen MT" w:hint="default"/>
      </w:rPr>
    </w:lvl>
    <w:lvl w:ilvl="8" w:tplc="013E290E" w:tentative="1">
      <w:start w:val="1"/>
      <w:numFmt w:val="bullet"/>
      <w:lvlText w:val=" "/>
      <w:lvlJc w:val="left"/>
      <w:pPr>
        <w:tabs>
          <w:tab w:val="num" w:pos="6480"/>
        </w:tabs>
        <w:ind w:left="6480" w:hanging="360"/>
      </w:pPr>
      <w:rPr>
        <w:rFonts w:ascii="Tw Cen MT" w:hAnsi="Tw Cen MT" w:hint="default"/>
      </w:rPr>
    </w:lvl>
  </w:abstractNum>
  <w:abstractNum w:abstractNumId="3" w15:restartNumberingAfterBreak="0">
    <w:nsid w:val="4001217C"/>
    <w:multiLevelType w:val="hybridMultilevel"/>
    <w:tmpl w:val="4B3EFEC4"/>
    <w:lvl w:ilvl="0" w:tplc="05D2A2E2">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4FD55255"/>
    <w:multiLevelType w:val="hybridMultilevel"/>
    <w:tmpl w:val="E9F29EC4"/>
    <w:lvl w:ilvl="0" w:tplc="66149606">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5DFC5A30"/>
    <w:multiLevelType w:val="hybridMultilevel"/>
    <w:tmpl w:val="58E49CD6"/>
    <w:lvl w:ilvl="0" w:tplc="C644C05E">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AF03AAA"/>
    <w:multiLevelType w:val="hybridMultilevel"/>
    <w:tmpl w:val="9F04EC02"/>
    <w:lvl w:ilvl="0" w:tplc="AB080760">
      <w:start w:val="1"/>
      <w:numFmt w:val="bullet"/>
      <w:lvlText w:val=""/>
      <w:lvlJc w:val="left"/>
      <w:pPr>
        <w:tabs>
          <w:tab w:val="num" w:pos="340"/>
        </w:tabs>
        <w:ind w:left="0" w:firstLine="0"/>
      </w:pPr>
      <w:rPr>
        <w:rFonts w:ascii="Wingdings" w:hAnsi="Wingdings" w:hint="default"/>
        <w:b w:val="0"/>
        <w:i w:val="0"/>
        <w:color w:val="003366"/>
        <w:spacing w:val="0"/>
        <w:sz w:val="24"/>
        <w:szCs w:val="1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16cid:durableId="831608338">
    <w:abstractNumId w:val="1"/>
  </w:num>
  <w:num w:numId="2" w16cid:durableId="2053922433">
    <w:abstractNumId w:val="5"/>
  </w:num>
  <w:num w:numId="3" w16cid:durableId="13121915">
    <w:abstractNumId w:val="0"/>
  </w:num>
  <w:num w:numId="4" w16cid:durableId="1677925773">
    <w:abstractNumId w:val="3"/>
  </w:num>
  <w:num w:numId="5" w16cid:durableId="1006980737">
    <w:abstractNumId w:val="4"/>
  </w:num>
  <w:num w:numId="6" w16cid:durableId="1140657024">
    <w:abstractNumId w:val="6"/>
  </w:num>
  <w:num w:numId="7" w16cid:durableId="9345095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it-IT" w:vendorID="64" w:dllVersion="0" w:nlCheck="1" w:checkStyle="0"/>
  <w:activeWritingStyle w:appName="MSWord" w:lang="en-US" w:vendorID="64" w:dllVersion="6" w:nlCheck="1" w:checkStyle="1"/>
  <w:activeWritingStyle w:appName="MSWord" w:lang="en-US" w:vendorID="64" w:dllVersion="0" w:nlCheck="1" w:checkStyle="0"/>
  <w:activeWritingStyle w:appName="MSWord" w:lang="it-IT" w:vendorID="64" w:dllVersion="4096" w:nlCheck="1" w:checkStyle="0"/>
  <w:activeWritingStyle w:appName="MSWord" w:lang="en-US" w:vendorID="64" w:dllVersion="4096"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34FF"/>
    <w:rsid w:val="0000053D"/>
    <w:rsid w:val="00000825"/>
    <w:rsid w:val="00000DE6"/>
    <w:rsid w:val="00001091"/>
    <w:rsid w:val="00001763"/>
    <w:rsid w:val="000020C7"/>
    <w:rsid w:val="00002177"/>
    <w:rsid w:val="00002AED"/>
    <w:rsid w:val="0000396F"/>
    <w:rsid w:val="00003E56"/>
    <w:rsid w:val="000042EB"/>
    <w:rsid w:val="000048CD"/>
    <w:rsid w:val="00006D10"/>
    <w:rsid w:val="00007066"/>
    <w:rsid w:val="000071CE"/>
    <w:rsid w:val="0000734C"/>
    <w:rsid w:val="000075FC"/>
    <w:rsid w:val="00007742"/>
    <w:rsid w:val="0000784B"/>
    <w:rsid w:val="00007CBD"/>
    <w:rsid w:val="00007F49"/>
    <w:rsid w:val="00010170"/>
    <w:rsid w:val="00010BD3"/>
    <w:rsid w:val="00010F8F"/>
    <w:rsid w:val="00010FE6"/>
    <w:rsid w:val="00011037"/>
    <w:rsid w:val="000114C9"/>
    <w:rsid w:val="00011C2F"/>
    <w:rsid w:val="00011DE9"/>
    <w:rsid w:val="00012685"/>
    <w:rsid w:val="00012B14"/>
    <w:rsid w:val="00013458"/>
    <w:rsid w:val="000134B8"/>
    <w:rsid w:val="00014765"/>
    <w:rsid w:val="00014F90"/>
    <w:rsid w:val="00015130"/>
    <w:rsid w:val="0001544F"/>
    <w:rsid w:val="00016F4D"/>
    <w:rsid w:val="0001738B"/>
    <w:rsid w:val="000176EC"/>
    <w:rsid w:val="000208E2"/>
    <w:rsid w:val="0002096E"/>
    <w:rsid w:val="000209FA"/>
    <w:rsid w:val="00020C18"/>
    <w:rsid w:val="00022348"/>
    <w:rsid w:val="000224DE"/>
    <w:rsid w:val="0002257A"/>
    <w:rsid w:val="00023B4F"/>
    <w:rsid w:val="00023B7E"/>
    <w:rsid w:val="00023C73"/>
    <w:rsid w:val="0002428F"/>
    <w:rsid w:val="0002505D"/>
    <w:rsid w:val="00025711"/>
    <w:rsid w:val="00025AE8"/>
    <w:rsid w:val="00026B2F"/>
    <w:rsid w:val="000306D6"/>
    <w:rsid w:val="00030D17"/>
    <w:rsid w:val="00031115"/>
    <w:rsid w:val="00031E47"/>
    <w:rsid w:val="0003264F"/>
    <w:rsid w:val="0003298F"/>
    <w:rsid w:val="00033165"/>
    <w:rsid w:val="00033F2B"/>
    <w:rsid w:val="00034021"/>
    <w:rsid w:val="000343A2"/>
    <w:rsid w:val="000354A8"/>
    <w:rsid w:val="00035516"/>
    <w:rsid w:val="000356D5"/>
    <w:rsid w:val="00035F82"/>
    <w:rsid w:val="00036154"/>
    <w:rsid w:val="00036676"/>
    <w:rsid w:val="00037E88"/>
    <w:rsid w:val="000401BA"/>
    <w:rsid w:val="0004131D"/>
    <w:rsid w:val="00041838"/>
    <w:rsid w:val="00041C9B"/>
    <w:rsid w:val="00041DC5"/>
    <w:rsid w:val="000423E6"/>
    <w:rsid w:val="000425AA"/>
    <w:rsid w:val="000426E7"/>
    <w:rsid w:val="00042B99"/>
    <w:rsid w:val="00043696"/>
    <w:rsid w:val="000444BF"/>
    <w:rsid w:val="00044BA7"/>
    <w:rsid w:val="0004526F"/>
    <w:rsid w:val="00045472"/>
    <w:rsid w:val="000463B5"/>
    <w:rsid w:val="000467F2"/>
    <w:rsid w:val="0004706B"/>
    <w:rsid w:val="000473F9"/>
    <w:rsid w:val="00047479"/>
    <w:rsid w:val="0004769F"/>
    <w:rsid w:val="000476DC"/>
    <w:rsid w:val="00047A1F"/>
    <w:rsid w:val="00047DBA"/>
    <w:rsid w:val="000507CF"/>
    <w:rsid w:val="000512EA"/>
    <w:rsid w:val="00051587"/>
    <w:rsid w:val="000523A3"/>
    <w:rsid w:val="0005356B"/>
    <w:rsid w:val="000535F6"/>
    <w:rsid w:val="0005382C"/>
    <w:rsid w:val="000541C4"/>
    <w:rsid w:val="000541EC"/>
    <w:rsid w:val="0005451A"/>
    <w:rsid w:val="00055B88"/>
    <w:rsid w:val="00057287"/>
    <w:rsid w:val="00057EFB"/>
    <w:rsid w:val="000613D2"/>
    <w:rsid w:val="00061C4E"/>
    <w:rsid w:val="00062A73"/>
    <w:rsid w:val="00063871"/>
    <w:rsid w:val="00063FE1"/>
    <w:rsid w:val="00064102"/>
    <w:rsid w:val="0006439B"/>
    <w:rsid w:val="000646C1"/>
    <w:rsid w:val="0006574C"/>
    <w:rsid w:val="000665DC"/>
    <w:rsid w:val="00066F5C"/>
    <w:rsid w:val="000679B2"/>
    <w:rsid w:val="00070378"/>
    <w:rsid w:val="0007093C"/>
    <w:rsid w:val="00070FF7"/>
    <w:rsid w:val="0007144B"/>
    <w:rsid w:val="000717CD"/>
    <w:rsid w:val="0007183B"/>
    <w:rsid w:val="000718B8"/>
    <w:rsid w:val="00071F99"/>
    <w:rsid w:val="000722A1"/>
    <w:rsid w:val="0007246C"/>
    <w:rsid w:val="00072EE8"/>
    <w:rsid w:val="0007346F"/>
    <w:rsid w:val="0007364E"/>
    <w:rsid w:val="00073656"/>
    <w:rsid w:val="000737C5"/>
    <w:rsid w:val="0007490C"/>
    <w:rsid w:val="00074F21"/>
    <w:rsid w:val="00075049"/>
    <w:rsid w:val="00076B04"/>
    <w:rsid w:val="00076EF0"/>
    <w:rsid w:val="00077332"/>
    <w:rsid w:val="00080193"/>
    <w:rsid w:val="000808AF"/>
    <w:rsid w:val="0008106B"/>
    <w:rsid w:val="00081681"/>
    <w:rsid w:val="0008211B"/>
    <w:rsid w:val="00082316"/>
    <w:rsid w:val="000824CF"/>
    <w:rsid w:val="000825E4"/>
    <w:rsid w:val="00082E5B"/>
    <w:rsid w:val="00082ED0"/>
    <w:rsid w:val="00082F25"/>
    <w:rsid w:val="00082F91"/>
    <w:rsid w:val="00083866"/>
    <w:rsid w:val="00083EA8"/>
    <w:rsid w:val="0008427D"/>
    <w:rsid w:val="000843B1"/>
    <w:rsid w:val="0008459E"/>
    <w:rsid w:val="000854D9"/>
    <w:rsid w:val="0008561D"/>
    <w:rsid w:val="0008573D"/>
    <w:rsid w:val="00085D39"/>
    <w:rsid w:val="000860AB"/>
    <w:rsid w:val="00086456"/>
    <w:rsid w:val="000868DA"/>
    <w:rsid w:val="0008701E"/>
    <w:rsid w:val="00087F2B"/>
    <w:rsid w:val="00091EAE"/>
    <w:rsid w:val="000924BC"/>
    <w:rsid w:val="00092590"/>
    <w:rsid w:val="000934B8"/>
    <w:rsid w:val="00093BF5"/>
    <w:rsid w:val="000940FB"/>
    <w:rsid w:val="00094623"/>
    <w:rsid w:val="0009512D"/>
    <w:rsid w:val="0009519B"/>
    <w:rsid w:val="00095707"/>
    <w:rsid w:val="00095DCC"/>
    <w:rsid w:val="00096098"/>
    <w:rsid w:val="00096BD5"/>
    <w:rsid w:val="00097BEE"/>
    <w:rsid w:val="000A0304"/>
    <w:rsid w:val="000A1A44"/>
    <w:rsid w:val="000A2B36"/>
    <w:rsid w:val="000A2CE3"/>
    <w:rsid w:val="000A35DD"/>
    <w:rsid w:val="000A3DA6"/>
    <w:rsid w:val="000A4F3E"/>
    <w:rsid w:val="000A5962"/>
    <w:rsid w:val="000A6EC8"/>
    <w:rsid w:val="000A723C"/>
    <w:rsid w:val="000A79D9"/>
    <w:rsid w:val="000B00FD"/>
    <w:rsid w:val="000B0188"/>
    <w:rsid w:val="000B0E1B"/>
    <w:rsid w:val="000B0F5F"/>
    <w:rsid w:val="000B1398"/>
    <w:rsid w:val="000B1AFD"/>
    <w:rsid w:val="000B25E0"/>
    <w:rsid w:val="000B2771"/>
    <w:rsid w:val="000B2DE4"/>
    <w:rsid w:val="000B33BB"/>
    <w:rsid w:val="000B3C2F"/>
    <w:rsid w:val="000B3DCF"/>
    <w:rsid w:val="000B4132"/>
    <w:rsid w:val="000B4257"/>
    <w:rsid w:val="000B4826"/>
    <w:rsid w:val="000B49F5"/>
    <w:rsid w:val="000B54EA"/>
    <w:rsid w:val="000B59A4"/>
    <w:rsid w:val="000B5CF0"/>
    <w:rsid w:val="000B5F30"/>
    <w:rsid w:val="000B5F37"/>
    <w:rsid w:val="000B6060"/>
    <w:rsid w:val="000B68CB"/>
    <w:rsid w:val="000B6E6E"/>
    <w:rsid w:val="000B78AF"/>
    <w:rsid w:val="000B79A4"/>
    <w:rsid w:val="000B7EE1"/>
    <w:rsid w:val="000C0E96"/>
    <w:rsid w:val="000C1DBA"/>
    <w:rsid w:val="000C1FEE"/>
    <w:rsid w:val="000C23C8"/>
    <w:rsid w:val="000C24A9"/>
    <w:rsid w:val="000C2AF7"/>
    <w:rsid w:val="000C2FC4"/>
    <w:rsid w:val="000C348E"/>
    <w:rsid w:val="000C34C0"/>
    <w:rsid w:val="000C3ACA"/>
    <w:rsid w:val="000C3D3C"/>
    <w:rsid w:val="000C4223"/>
    <w:rsid w:val="000C43AD"/>
    <w:rsid w:val="000C4B99"/>
    <w:rsid w:val="000C51C1"/>
    <w:rsid w:val="000C51C7"/>
    <w:rsid w:val="000C5A0D"/>
    <w:rsid w:val="000C5D95"/>
    <w:rsid w:val="000C5DC0"/>
    <w:rsid w:val="000C5E6D"/>
    <w:rsid w:val="000C5F6E"/>
    <w:rsid w:val="000C60D8"/>
    <w:rsid w:val="000C683D"/>
    <w:rsid w:val="000C6D3F"/>
    <w:rsid w:val="000C6EC2"/>
    <w:rsid w:val="000C7AF6"/>
    <w:rsid w:val="000C7CB9"/>
    <w:rsid w:val="000C7E7F"/>
    <w:rsid w:val="000D01FA"/>
    <w:rsid w:val="000D058E"/>
    <w:rsid w:val="000D06E7"/>
    <w:rsid w:val="000D07B4"/>
    <w:rsid w:val="000D0CDD"/>
    <w:rsid w:val="000D1BB9"/>
    <w:rsid w:val="000D1C88"/>
    <w:rsid w:val="000D1F58"/>
    <w:rsid w:val="000D1FF1"/>
    <w:rsid w:val="000D20C3"/>
    <w:rsid w:val="000D31ED"/>
    <w:rsid w:val="000D3343"/>
    <w:rsid w:val="000D35FE"/>
    <w:rsid w:val="000D3B81"/>
    <w:rsid w:val="000D3BE3"/>
    <w:rsid w:val="000D4700"/>
    <w:rsid w:val="000D49B6"/>
    <w:rsid w:val="000D5768"/>
    <w:rsid w:val="000D5B04"/>
    <w:rsid w:val="000D5E76"/>
    <w:rsid w:val="000D61A6"/>
    <w:rsid w:val="000D758D"/>
    <w:rsid w:val="000E01E0"/>
    <w:rsid w:val="000E0402"/>
    <w:rsid w:val="000E0433"/>
    <w:rsid w:val="000E0F08"/>
    <w:rsid w:val="000E17CE"/>
    <w:rsid w:val="000E1DA1"/>
    <w:rsid w:val="000E2017"/>
    <w:rsid w:val="000E2097"/>
    <w:rsid w:val="000E28C7"/>
    <w:rsid w:val="000E2A6D"/>
    <w:rsid w:val="000E2C69"/>
    <w:rsid w:val="000E3177"/>
    <w:rsid w:val="000E3182"/>
    <w:rsid w:val="000E36FF"/>
    <w:rsid w:val="000E41B4"/>
    <w:rsid w:val="000E47B2"/>
    <w:rsid w:val="000E4AB8"/>
    <w:rsid w:val="000E4C5D"/>
    <w:rsid w:val="000E4D8A"/>
    <w:rsid w:val="000E5511"/>
    <w:rsid w:val="000E5C77"/>
    <w:rsid w:val="000E656C"/>
    <w:rsid w:val="000E7D78"/>
    <w:rsid w:val="000F080C"/>
    <w:rsid w:val="000F0834"/>
    <w:rsid w:val="000F0DE8"/>
    <w:rsid w:val="000F10B8"/>
    <w:rsid w:val="000F16DD"/>
    <w:rsid w:val="000F191D"/>
    <w:rsid w:val="000F2103"/>
    <w:rsid w:val="000F255B"/>
    <w:rsid w:val="000F25D5"/>
    <w:rsid w:val="000F28CD"/>
    <w:rsid w:val="000F2C10"/>
    <w:rsid w:val="000F3EE9"/>
    <w:rsid w:val="000F440B"/>
    <w:rsid w:val="000F4EE1"/>
    <w:rsid w:val="000F54E2"/>
    <w:rsid w:val="000F56AC"/>
    <w:rsid w:val="000F56B4"/>
    <w:rsid w:val="000F5E14"/>
    <w:rsid w:val="000F5F7E"/>
    <w:rsid w:val="000F61BC"/>
    <w:rsid w:val="000F6536"/>
    <w:rsid w:val="000F6911"/>
    <w:rsid w:val="000F6BD7"/>
    <w:rsid w:val="000F6D28"/>
    <w:rsid w:val="000F7212"/>
    <w:rsid w:val="000F73C6"/>
    <w:rsid w:val="000F7425"/>
    <w:rsid w:val="000F7E7C"/>
    <w:rsid w:val="00100D77"/>
    <w:rsid w:val="00101A70"/>
    <w:rsid w:val="00101EBD"/>
    <w:rsid w:val="00102019"/>
    <w:rsid w:val="00102064"/>
    <w:rsid w:val="00102103"/>
    <w:rsid w:val="00102185"/>
    <w:rsid w:val="00102284"/>
    <w:rsid w:val="00102445"/>
    <w:rsid w:val="001035E3"/>
    <w:rsid w:val="001038B2"/>
    <w:rsid w:val="001042B2"/>
    <w:rsid w:val="00104474"/>
    <w:rsid w:val="00104E17"/>
    <w:rsid w:val="001050D9"/>
    <w:rsid w:val="001051FB"/>
    <w:rsid w:val="00105689"/>
    <w:rsid w:val="00105931"/>
    <w:rsid w:val="001059FA"/>
    <w:rsid w:val="00105F28"/>
    <w:rsid w:val="001061E0"/>
    <w:rsid w:val="0011056F"/>
    <w:rsid w:val="00111291"/>
    <w:rsid w:val="00111483"/>
    <w:rsid w:val="001119DF"/>
    <w:rsid w:val="00111A00"/>
    <w:rsid w:val="00111A23"/>
    <w:rsid w:val="00111DB1"/>
    <w:rsid w:val="001129C5"/>
    <w:rsid w:val="00112B06"/>
    <w:rsid w:val="00112D4E"/>
    <w:rsid w:val="00112DB1"/>
    <w:rsid w:val="001130CF"/>
    <w:rsid w:val="00113587"/>
    <w:rsid w:val="00113D32"/>
    <w:rsid w:val="00114106"/>
    <w:rsid w:val="001143A5"/>
    <w:rsid w:val="0011554D"/>
    <w:rsid w:val="00117291"/>
    <w:rsid w:val="001172E3"/>
    <w:rsid w:val="00117576"/>
    <w:rsid w:val="00117585"/>
    <w:rsid w:val="001178D5"/>
    <w:rsid w:val="00117C9A"/>
    <w:rsid w:val="00117FE2"/>
    <w:rsid w:val="001216F3"/>
    <w:rsid w:val="001222CF"/>
    <w:rsid w:val="0012253F"/>
    <w:rsid w:val="0012282C"/>
    <w:rsid w:val="00123033"/>
    <w:rsid w:val="001230AE"/>
    <w:rsid w:val="0012394C"/>
    <w:rsid w:val="00123CAE"/>
    <w:rsid w:val="00123E17"/>
    <w:rsid w:val="00124010"/>
    <w:rsid w:val="00124A38"/>
    <w:rsid w:val="00124DCB"/>
    <w:rsid w:val="0012509A"/>
    <w:rsid w:val="00125760"/>
    <w:rsid w:val="00125A32"/>
    <w:rsid w:val="001262A2"/>
    <w:rsid w:val="001266B6"/>
    <w:rsid w:val="001273E0"/>
    <w:rsid w:val="00127809"/>
    <w:rsid w:val="00127A7C"/>
    <w:rsid w:val="00127BDB"/>
    <w:rsid w:val="001304A9"/>
    <w:rsid w:val="001304AD"/>
    <w:rsid w:val="00130A8B"/>
    <w:rsid w:val="00131166"/>
    <w:rsid w:val="001315C9"/>
    <w:rsid w:val="00131B50"/>
    <w:rsid w:val="00132E94"/>
    <w:rsid w:val="00133310"/>
    <w:rsid w:val="00133ACC"/>
    <w:rsid w:val="00134092"/>
    <w:rsid w:val="001349F8"/>
    <w:rsid w:val="00134B8E"/>
    <w:rsid w:val="001350C3"/>
    <w:rsid w:val="001352D2"/>
    <w:rsid w:val="00135378"/>
    <w:rsid w:val="00135B50"/>
    <w:rsid w:val="00136280"/>
    <w:rsid w:val="001365DB"/>
    <w:rsid w:val="001365F6"/>
    <w:rsid w:val="00136A09"/>
    <w:rsid w:val="00137942"/>
    <w:rsid w:val="00137ADD"/>
    <w:rsid w:val="00137C1A"/>
    <w:rsid w:val="00140C52"/>
    <w:rsid w:val="00140DFF"/>
    <w:rsid w:val="00142E5D"/>
    <w:rsid w:val="0014327D"/>
    <w:rsid w:val="00143314"/>
    <w:rsid w:val="0014340B"/>
    <w:rsid w:val="00143829"/>
    <w:rsid w:val="00143D5C"/>
    <w:rsid w:val="00143FF3"/>
    <w:rsid w:val="00144780"/>
    <w:rsid w:val="001450F4"/>
    <w:rsid w:val="001460AD"/>
    <w:rsid w:val="001471E6"/>
    <w:rsid w:val="00150C3C"/>
    <w:rsid w:val="001512E9"/>
    <w:rsid w:val="001517D8"/>
    <w:rsid w:val="00151F1A"/>
    <w:rsid w:val="001523E8"/>
    <w:rsid w:val="00152C53"/>
    <w:rsid w:val="00152EFE"/>
    <w:rsid w:val="00153311"/>
    <w:rsid w:val="001533D6"/>
    <w:rsid w:val="001537A3"/>
    <w:rsid w:val="001537BE"/>
    <w:rsid w:val="00154031"/>
    <w:rsid w:val="00154931"/>
    <w:rsid w:val="00154B7E"/>
    <w:rsid w:val="00155E36"/>
    <w:rsid w:val="00156575"/>
    <w:rsid w:val="00156870"/>
    <w:rsid w:val="001569C5"/>
    <w:rsid w:val="00156D16"/>
    <w:rsid w:val="00156D6F"/>
    <w:rsid w:val="00157219"/>
    <w:rsid w:val="001576F1"/>
    <w:rsid w:val="00157C66"/>
    <w:rsid w:val="00157ED8"/>
    <w:rsid w:val="00157F5E"/>
    <w:rsid w:val="001614C5"/>
    <w:rsid w:val="00161868"/>
    <w:rsid w:val="00161A02"/>
    <w:rsid w:val="00162CC0"/>
    <w:rsid w:val="00163045"/>
    <w:rsid w:val="0016359C"/>
    <w:rsid w:val="00163CE2"/>
    <w:rsid w:val="00163DA5"/>
    <w:rsid w:val="00164770"/>
    <w:rsid w:val="00164DD7"/>
    <w:rsid w:val="001650F0"/>
    <w:rsid w:val="00165589"/>
    <w:rsid w:val="0016592A"/>
    <w:rsid w:val="001660D4"/>
    <w:rsid w:val="001661A6"/>
    <w:rsid w:val="001661BE"/>
    <w:rsid w:val="001663CB"/>
    <w:rsid w:val="00166A55"/>
    <w:rsid w:val="00167170"/>
    <w:rsid w:val="00170AC8"/>
    <w:rsid w:val="00170EB4"/>
    <w:rsid w:val="00171303"/>
    <w:rsid w:val="001714E3"/>
    <w:rsid w:val="001717B5"/>
    <w:rsid w:val="00171977"/>
    <w:rsid w:val="00171A8E"/>
    <w:rsid w:val="00173008"/>
    <w:rsid w:val="00174FE1"/>
    <w:rsid w:val="001754E7"/>
    <w:rsid w:val="00175C6E"/>
    <w:rsid w:val="001761CF"/>
    <w:rsid w:val="00176D20"/>
    <w:rsid w:val="0018019C"/>
    <w:rsid w:val="00180E98"/>
    <w:rsid w:val="00181074"/>
    <w:rsid w:val="00181263"/>
    <w:rsid w:val="001815CC"/>
    <w:rsid w:val="00181C60"/>
    <w:rsid w:val="001824CF"/>
    <w:rsid w:val="001826FE"/>
    <w:rsid w:val="00182894"/>
    <w:rsid w:val="00182DCA"/>
    <w:rsid w:val="001830A6"/>
    <w:rsid w:val="00183625"/>
    <w:rsid w:val="00185665"/>
    <w:rsid w:val="00185A19"/>
    <w:rsid w:val="0018698A"/>
    <w:rsid w:val="00186EC0"/>
    <w:rsid w:val="00187341"/>
    <w:rsid w:val="001873B0"/>
    <w:rsid w:val="00190006"/>
    <w:rsid w:val="00190158"/>
    <w:rsid w:val="00190ADC"/>
    <w:rsid w:val="00190E2B"/>
    <w:rsid w:val="00190E36"/>
    <w:rsid w:val="001913B9"/>
    <w:rsid w:val="00191477"/>
    <w:rsid w:val="001917F1"/>
    <w:rsid w:val="00191EA1"/>
    <w:rsid w:val="00193A8D"/>
    <w:rsid w:val="00194943"/>
    <w:rsid w:val="00194EC1"/>
    <w:rsid w:val="00194F41"/>
    <w:rsid w:val="00195299"/>
    <w:rsid w:val="00195481"/>
    <w:rsid w:val="001954CD"/>
    <w:rsid w:val="001958B2"/>
    <w:rsid w:val="0019616E"/>
    <w:rsid w:val="001968C8"/>
    <w:rsid w:val="001968E3"/>
    <w:rsid w:val="00196BA3"/>
    <w:rsid w:val="00196EF1"/>
    <w:rsid w:val="0019745C"/>
    <w:rsid w:val="0019759E"/>
    <w:rsid w:val="00197D76"/>
    <w:rsid w:val="001A0217"/>
    <w:rsid w:val="001A10C1"/>
    <w:rsid w:val="001A11C2"/>
    <w:rsid w:val="001A1346"/>
    <w:rsid w:val="001A2263"/>
    <w:rsid w:val="001A24AD"/>
    <w:rsid w:val="001A29C8"/>
    <w:rsid w:val="001A2E0D"/>
    <w:rsid w:val="001A3280"/>
    <w:rsid w:val="001A3DBB"/>
    <w:rsid w:val="001A4990"/>
    <w:rsid w:val="001A4C6D"/>
    <w:rsid w:val="001A4D93"/>
    <w:rsid w:val="001A5EB6"/>
    <w:rsid w:val="001A611B"/>
    <w:rsid w:val="001A62B0"/>
    <w:rsid w:val="001A62B5"/>
    <w:rsid w:val="001A7CAF"/>
    <w:rsid w:val="001A7F1A"/>
    <w:rsid w:val="001B07FF"/>
    <w:rsid w:val="001B10C3"/>
    <w:rsid w:val="001B1DB1"/>
    <w:rsid w:val="001B32E7"/>
    <w:rsid w:val="001B33C8"/>
    <w:rsid w:val="001B3B21"/>
    <w:rsid w:val="001B41C2"/>
    <w:rsid w:val="001B4D79"/>
    <w:rsid w:val="001B535F"/>
    <w:rsid w:val="001B5391"/>
    <w:rsid w:val="001B64E1"/>
    <w:rsid w:val="001B65FB"/>
    <w:rsid w:val="001B69C7"/>
    <w:rsid w:val="001B6C21"/>
    <w:rsid w:val="001B743D"/>
    <w:rsid w:val="001B745D"/>
    <w:rsid w:val="001C0092"/>
    <w:rsid w:val="001C03DA"/>
    <w:rsid w:val="001C0547"/>
    <w:rsid w:val="001C0BF3"/>
    <w:rsid w:val="001C0F22"/>
    <w:rsid w:val="001C0F69"/>
    <w:rsid w:val="001C1BA2"/>
    <w:rsid w:val="001C1D5F"/>
    <w:rsid w:val="001C22FB"/>
    <w:rsid w:val="001C3235"/>
    <w:rsid w:val="001C333E"/>
    <w:rsid w:val="001C3445"/>
    <w:rsid w:val="001C3851"/>
    <w:rsid w:val="001C3E12"/>
    <w:rsid w:val="001C6222"/>
    <w:rsid w:val="001C635F"/>
    <w:rsid w:val="001C6D75"/>
    <w:rsid w:val="001C77B0"/>
    <w:rsid w:val="001D0137"/>
    <w:rsid w:val="001D06B6"/>
    <w:rsid w:val="001D0EB7"/>
    <w:rsid w:val="001D2AAA"/>
    <w:rsid w:val="001D32D2"/>
    <w:rsid w:val="001D3DA7"/>
    <w:rsid w:val="001D46FC"/>
    <w:rsid w:val="001D475E"/>
    <w:rsid w:val="001D5186"/>
    <w:rsid w:val="001D53F1"/>
    <w:rsid w:val="001D5578"/>
    <w:rsid w:val="001D6301"/>
    <w:rsid w:val="001D64C3"/>
    <w:rsid w:val="001D64EE"/>
    <w:rsid w:val="001D68A6"/>
    <w:rsid w:val="001D6BC4"/>
    <w:rsid w:val="001D6C50"/>
    <w:rsid w:val="001D6FBA"/>
    <w:rsid w:val="001D7102"/>
    <w:rsid w:val="001D75A9"/>
    <w:rsid w:val="001D7A31"/>
    <w:rsid w:val="001D7A7B"/>
    <w:rsid w:val="001D7ABE"/>
    <w:rsid w:val="001D7ED4"/>
    <w:rsid w:val="001E1028"/>
    <w:rsid w:val="001E1BA2"/>
    <w:rsid w:val="001E3573"/>
    <w:rsid w:val="001E42F3"/>
    <w:rsid w:val="001E5DE3"/>
    <w:rsid w:val="001E5F21"/>
    <w:rsid w:val="001E6D2C"/>
    <w:rsid w:val="001E758E"/>
    <w:rsid w:val="001E7641"/>
    <w:rsid w:val="001E7678"/>
    <w:rsid w:val="001E7DAC"/>
    <w:rsid w:val="001F094A"/>
    <w:rsid w:val="001F1697"/>
    <w:rsid w:val="001F1C38"/>
    <w:rsid w:val="001F24DC"/>
    <w:rsid w:val="001F29B0"/>
    <w:rsid w:val="001F2DCA"/>
    <w:rsid w:val="001F3589"/>
    <w:rsid w:val="001F486C"/>
    <w:rsid w:val="001F4CD6"/>
    <w:rsid w:val="001F4D05"/>
    <w:rsid w:val="001F5214"/>
    <w:rsid w:val="001F5583"/>
    <w:rsid w:val="001F58C7"/>
    <w:rsid w:val="001F5A15"/>
    <w:rsid w:val="001F5D7B"/>
    <w:rsid w:val="001F609C"/>
    <w:rsid w:val="001F61BA"/>
    <w:rsid w:val="001F621C"/>
    <w:rsid w:val="001F6677"/>
    <w:rsid w:val="001F6E7C"/>
    <w:rsid w:val="002000AC"/>
    <w:rsid w:val="0020031D"/>
    <w:rsid w:val="002005F1"/>
    <w:rsid w:val="00200669"/>
    <w:rsid w:val="0020087D"/>
    <w:rsid w:val="00200AA9"/>
    <w:rsid w:val="00200F17"/>
    <w:rsid w:val="00200FD6"/>
    <w:rsid w:val="00201C4C"/>
    <w:rsid w:val="00202C51"/>
    <w:rsid w:val="00202D5E"/>
    <w:rsid w:val="00202E62"/>
    <w:rsid w:val="002031E5"/>
    <w:rsid w:val="00203F9E"/>
    <w:rsid w:val="002046C3"/>
    <w:rsid w:val="0020556C"/>
    <w:rsid w:val="00205589"/>
    <w:rsid w:val="002056F7"/>
    <w:rsid w:val="00205ADF"/>
    <w:rsid w:val="00205D0A"/>
    <w:rsid w:val="002067F9"/>
    <w:rsid w:val="00206DEE"/>
    <w:rsid w:val="002072B2"/>
    <w:rsid w:val="00210275"/>
    <w:rsid w:val="002103C3"/>
    <w:rsid w:val="00210720"/>
    <w:rsid w:val="00210C42"/>
    <w:rsid w:val="00210D17"/>
    <w:rsid w:val="00210DA8"/>
    <w:rsid w:val="00210DE0"/>
    <w:rsid w:val="0021197E"/>
    <w:rsid w:val="00212529"/>
    <w:rsid w:val="0021285C"/>
    <w:rsid w:val="00212F11"/>
    <w:rsid w:val="002137BA"/>
    <w:rsid w:val="00214722"/>
    <w:rsid w:val="00214B49"/>
    <w:rsid w:val="002153E6"/>
    <w:rsid w:val="00215FD0"/>
    <w:rsid w:val="00220886"/>
    <w:rsid w:val="00220D5E"/>
    <w:rsid w:val="00220F99"/>
    <w:rsid w:val="00221079"/>
    <w:rsid w:val="00221CFA"/>
    <w:rsid w:val="002222D4"/>
    <w:rsid w:val="00222966"/>
    <w:rsid w:val="002236B4"/>
    <w:rsid w:val="002245DD"/>
    <w:rsid w:val="0022478C"/>
    <w:rsid w:val="002247FC"/>
    <w:rsid w:val="00224936"/>
    <w:rsid w:val="00224ECE"/>
    <w:rsid w:val="00225A82"/>
    <w:rsid w:val="00225B32"/>
    <w:rsid w:val="00225E5A"/>
    <w:rsid w:val="00226116"/>
    <w:rsid w:val="002261D9"/>
    <w:rsid w:val="00226676"/>
    <w:rsid w:val="002266B4"/>
    <w:rsid w:val="002268E7"/>
    <w:rsid w:val="00226C04"/>
    <w:rsid w:val="00227D78"/>
    <w:rsid w:val="00230239"/>
    <w:rsid w:val="0023067E"/>
    <w:rsid w:val="00230982"/>
    <w:rsid w:val="00230AF5"/>
    <w:rsid w:val="00230C39"/>
    <w:rsid w:val="00230D1D"/>
    <w:rsid w:val="00231BC5"/>
    <w:rsid w:val="002323B9"/>
    <w:rsid w:val="00232854"/>
    <w:rsid w:val="002330DF"/>
    <w:rsid w:val="00233163"/>
    <w:rsid w:val="00233276"/>
    <w:rsid w:val="002337A9"/>
    <w:rsid w:val="00233D1C"/>
    <w:rsid w:val="00234D42"/>
    <w:rsid w:val="002359B2"/>
    <w:rsid w:val="00236BDB"/>
    <w:rsid w:val="002370CF"/>
    <w:rsid w:val="00237297"/>
    <w:rsid w:val="002372A4"/>
    <w:rsid w:val="0023793B"/>
    <w:rsid w:val="0023798C"/>
    <w:rsid w:val="00237BE7"/>
    <w:rsid w:val="00237F57"/>
    <w:rsid w:val="002402C9"/>
    <w:rsid w:val="00240860"/>
    <w:rsid w:val="00240909"/>
    <w:rsid w:val="002415B8"/>
    <w:rsid w:val="0024201E"/>
    <w:rsid w:val="002425DD"/>
    <w:rsid w:val="002427A6"/>
    <w:rsid w:val="002437D4"/>
    <w:rsid w:val="00243F15"/>
    <w:rsid w:val="00244329"/>
    <w:rsid w:val="002444DA"/>
    <w:rsid w:val="0024501A"/>
    <w:rsid w:val="00246065"/>
    <w:rsid w:val="00246619"/>
    <w:rsid w:val="0024697E"/>
    <w:rsid w:val="00246A01"/>
    <w:rsid w:val="00246BA9"/>
    <w:rsid w:val="00246D7E"/>
    <w:rsid w:val="0024708F"/>
    <w:rsid w:val="00250448"/>
    <w:rsid w:val="00250570"/>
    <w:rsid w:val="00250A8D"/>
    <w:rsid w:val="00250D9D"/>
    <w:rsid w:val="00251743"/>
    <w:rsid w:val="002518F5"/>
    <w:rsid w:val="00251A7B"/>
    <w:rsid w:val="00251CA6"/>
    <w:rsid w:val="002521EC"/>
    <w:rsid w:val="0025287B"/>
    <w:rsid w:val="002533A7"/>
    <w:rsid w:val="002542DD"/>
    <w:rsid w:val="00254403"/>
    <w:rsid w:val="00254523"/>
    <w:rsid w:val="002546A6"/>
    <w:rsid w:val="0025480B"/>
    <w:rsid w:val="00254851"/>
    <w:rsid w:val="002548C3"/>
    <w:rsid w:val="00254D72"/>
    <w:rsid w:val="0025570D"/>
    <w:rsid w:val="00255A74"/>
    <w:rsid w:val="00255D3D"/>
    <w:rsid w:val="00255DFF"/>
    <w:rsid w:val="002568A9"/>
    <w:rsid w:val="002568ED"/>
    <w:rsid w:val="00256EA4"/>
    <w:rsid w:val="002573E5"/>
    <w:rsid w:val="00257C91"/>
    <w:rsid w:val="002604A1"/>
    <w:rsid w:val="00260940"/>
    <w:rsid w:val="0026122A"/>
    <w:rsid w:val="002612F9"/>
    <w:rsid w:val="0026166B"/>
    <w:rsid w:val="002617CA"/>
    <w:rsid w:val="002617E8"/>
    <w:rsid w:val="00261BED"/>
    <w:rsid w:val="00261E46"/>
    <w:rsid w:val="00262DAC"/>
    <w:rsid w:val="00263004"/>
    <w:rsid w:val="0026334D"/>
    <w:rsid w:val="00263991"/>
    <w:rsid w:val="00264190"/>
    <w:rsid w:val="002649E0"/>
    <w:rsid w:val="00264BF7"/>
    <w:rsid w:val="00264DA8"/>
    <w:rsid w:val="00264DC5"/>
    <w:rsid w:val="00264F5E"/>
    <w:rsid w:val="002655FE"/>
    <w:rsid w:val="002661C1"/>
    <w:rsid w:val="002665A8"/>
    <w:rsid w:val="00266666"/>
    <w:rsid w:val="00266C71"/>
    <w:rsid w:val="002674BB"/>
    <w:rsid w:val="002700BA"/>
    <w:rsid w:val="00270E8B"/>
    <w:rsid w:val="0027130A"/>
    <w:rsid w:val="00271B23"/>
    <w:rsid w:val="00271E20"/>
    <w:rsid w:val="0027204B"/>
    <w:rsid w:val="002722DA"/>
    <w:rsid w:val="00272675"/>
    <w:rsid w:val="00272C2F"/>
    <w:rsid w:val="00272D06"/>
    <w:rsid w:val="00273092"/>
    <w:rsid w:val="0027327E"/>
    <w:rsid w:val="002734A4"/>
    <w:rsid w:val="002735A7"/>
    <w:rsid w:val="00273608"/>
    <w:rsid w:val="00273A74"/>
    <w:rsid w:val="002741C8"/>
    <w:rsid w:val="00274443"/>
    <w:rsid w:val="00274C09"/>
    <w:rsid w:val="002756D5"/>
    <w:rsid w:val="00275C0D"/>
    <w:rsid w:val="00275E9E"/>
    <w:rsid w:val="00275F5F"/>
    <w:rsid w:val="0027632B"/>
    <w:rsid w:val="00276FB9"/>
    <w:rsid w:val="00277231"/>
    <w:rsid w:val="00277638"/>
    <w:rsid w:val="00277EAA"/>
    <w:rsid w:val="0028087D"/>
    <w:rsid w:val="00280C4D"/>
    <w:rsid w:val="002812B1"/>
    <w:rsid w:val="002813BD"/>
    <w:rsid w:val="0028173F"/>
    <w:rsid w:val="00281B13"/>
    <w:rsid w:val="002822D3"/>
    <w:rsid w:val="0028289B"/>
    <w:rsid w:val="00282971"/>
    <w:rsid w:val="00282D16"/>
    <w:rsid w:val="00282DD6"/>
    <w:rsid w:val="00283133"/>
    <w:rsid w:val="002832E1"/>
    <w:rsid w:val="002838D6"/>
    <w:rsid w:val="00283C5B"/>
    <w:rsid w:val="0028457B"/>
    <w:rsid w:val="002848CB"/>
    <w:rsid w:val="00284AEB"/>
    <w:rsid w:val="00285170"/>
    <w:rsid w:val="00285927"/>
    <w:rsid w:val="0028627A"/>
    <w:rsid w:val="002864E8"/>
    <w:rsid w:val="00286634"/>
    <w:rsid w:val="00286C42"/>
    <w:rsid w:val="00286F2C"/>
    <w:rsid w:val="00287928"/>
    <w:rsid w:val="00287961"/>
    <w:rsid w:val="00290A2E"/>
    <w:rsid w:val="002915BE"/>
    <w:rsid w:val="00291A83"/>
    <w:rsid w:val="00291BC0"/>
    <w:rsid w:val="00291D7E"/>
    <w:rsid w:val="00292706"/>
    <w:rsid w:val="00292905"/>
    <w:rsid w:val="002934A3"/>
    <w:rsid w:val="002940AA"/>
    <w:rsid w:val="002940B7"/>
    <w:rsid w:val="00294DC2"/>
    <w:rsid w:val="00295633"/>
    <w:rsid w:val="00295687"/>
    <w:rsid w:val="002956C9"/>
    <w:rsid w:val="00295F01"/>
    <w:rsid w:val="0029651A"/>
    <w:rsid w:val="00296B59"/>
    <w:rsid w:val="00297F32"/>
    <w:rsid w:val="002A07C4"/>
    <w:rsid w:val="002A0D85"/>
    <w:rsid w:val="002A10B4"/>
    <w:rsid w:val="002A18E8"/>
    <w:rsid w:val="002A1DF5"/>
    <w:rsid w:val="002A1EED"/>
    <w:rsid w:val="002A1F72"/>
    <w:rsid w:val="002A2D78"/>
    <w:rsid w:val="002A2EA8"/>
    <w:rsid w:val="002A36A1"/>
    <w:rsid w:val="002A37AB"/>
    <w:rsid w:val="002A4BA6"/>
    <w:rsid w:val="002A4DEC"/>
    <w:rsid w:val="002A5097"/>
    <w:rsid w:val="002A5447"/>
    <w:rsid w:val="002A5E03"/>
    <w:rsid w:val="002A5F54"/>
    <w:rsid w:val="002A5F61"/>
    <w:rsid w:val="002A6126"/>
    <w:rsid w:val="002A6BD1"/>
    <w:rsid w:val="002A6CE6"/>
    <w:rsid w:val="002A7668"/>
    <w:rsid w:val="002B0B85"/>
    <w:rsid w:val="002B0C00"/>
    <w:rsid w:val="002B162D"/>
    <w:rsid w:val="002B2B52"/>
    <w:rsid w:val="002B2DF5"/>
    <w:rsid w:val="002B4A54"/>
    <w:rsid w:val="002B4D0D"/>
    <w:rsid w:val="002B589F"/>
    <w:rsid w:val="002B5E5A"/>
    <w:rsid w:val="002B62E0"/>
    <w:rsid w:val="002B664E"/>
    <w:rsid w:val="002B6C0E"/>
    <w:rsid w:val="002B770D"/>
    <w:rsid w:val="002B7E35"/>
    <w:rsid w:val="002C05EE"/>
    <w:rsid w:val="002C159C"/>
    <w:rsid w:val="002C1647"/>
    <w:rsid w:val="002C1A9A"/>
    <w:rsid w:val="002C1AD7"/>
    <w:rsid w:val="002C1CF2"/>
    <w:rsid w:val="002C24B2"/>
    <w:rsid w:val="002C2D4D"/>
    <w:rsid w:val="002C351A"/>
    <w:rsid w:val="002C3E8B"/>
    <w:rsid w:val="002C4258"/>
    <w:rsid w:val="002C4572"/>
    <w:rsid w:val="002C525E"/>
    <w:rsid w:val="002C6804"/>
    <w:rsid w:val="002C6AAB"/>
    <w:rsid w:val="002C6ED0"/>
    <w:rsid w:val="002C6EE8"/>
    <w:rsid w:val="002C6F23"/>
    <w:rsid w:val="002C775E"/>
    <w:rsid w:val="002C7868"/>
    <w:rsid w:val="002C79A8"/>
    <w:rsid w:val="002C7B51"/>
    <w:rsid w:val="002C7EB8"/>
    <w:rsid w:val="002D0391"/>
    <w:rsid w:val="002D0632"/>
    <w:rsid w:val="002D101A"/>
    <w:rsid w:val="002D1385"/>
    <w:rsid w:val="002D1805"/>
    <w:rsid w:val="002D18E7"/>
    <w:rsid w:val="002D1983"/>
    <w:rsid w:val="002D2583"/>
    <w:rsid w:val="002D2882"/>
    <w:rsid w:val="002D2A78"/>
    <w:rsid w:val="002D3C11"/>
    <w:rsid w:val="002D5AFB"/>
    <w:rsid w:val="002D5E31"/>
    <w:rsid w:val="002D5ECA"/>
    <w:rsid w:val="002D6323"/>
    <w:rsid w:val="002D6C8C"/>
    <w:rsid w:val="002D72B5"/>
    <w:rsid w:val="002D7BAA"/>
    <w:rsid w:val="002D7EAD"/>
    <w:rsid w:val="002E0444"/>
    <w:rsid w:val="002E0C64"/>
    <w:rsid w:val="002E11AD"/>
    <w:rsid w:val="002E1E6D"/>
    <w:rsid w:val="002E278C"/>
    <w:rsid w:val="002E2D2D"/>
    <w:rsid w:val="002E3220"/>
    <w:rsid w:val="002E33E4"/>
    <w:rsid w:val="002E3784"/>
    <w:rsid w:val="002E3993"/>
    <w:rsid w:val="002E3E15"/>
    <w:rsid w:val="002E4472"/>
    <w:rsid w:val="002E47FC"/>
    <w:rsid w:val="002E5123"/>
    <w:rsid w:val="002E5718"/>
    <w:rsid w:val="002E5DEE"/>
    <w:rsid w:val="002E7449"/>
    <w:rsid w:val="002E7582"/>
    <w:rsid w:val="002E7C74"/>
    <w:rsid w:val="002E7D2A"/>
    <w:rsid w:val="002F00AA"/>
    <w:rsid w:val="002F0454"/>
    <w:rsid w:val="002F053D"/>
    <w:rsid w:val="002F10BE"/>
    <w:rsid w:val="002F1AF9"/>
    <w:rsid w:val="002F21DF"/>
    <w:rsid w:val="002F2779"/>
    <w:rsid w:val="002F40A4"/>
    <w:rsid w:val="002F4138"/>
    <w:rsid w:val="002F435C"/>
    <w:rsid w:val="002F43FC"/>
    <w:rsid w:val="002F519B"/>
    <w:rsid w:val="002F5566"/>
    <w:rsid w:val="002F5992"/>
    <w:rsid w:val="002F5BF1"/>
    <w:rsid w:val="002F5CBB"/>
    <w:rsid w:val="002F65BF"/>
    <w:rsid w:val="002F6780"/>
    <w:rsid w:val="002F7395"/>
    <w:rsid w:val="002F78F5"/>
    <w:rsid w:val="00300653"/>
    <w:rsid w:val="00301624"/>
    <w:rsid w:val="00301F07"/>
    <w:rsid w:val="00302412"/>
    <w:rsid w:val="003026DE"/>
    <w:rsid w:val="00302CB8"/>
    <w:rsid w:val="003032B0"/>
    <w:rsid w:val="00303B57"/>
    <w:rsid w:val="00303F77"/>
    <w:rsid w:val="00304975"/>
    <w:rsid w:val="00304C63"/>
    <w:rsid w:val="00305A32"/>
    <w:rsid w:val="00305D40"/>
    <w:rsid w:val="00306063"/>
    <w:rsid w:val="00306E09"/>
    <w:rsid w:val="0030749A"/>
    <w:rsid w:val="0030756B"/>
    <w:rsid w:val="003075C9"/>
    <w:rsid w:val="0030767D"/>
    <w:rsid w:val="00307A78"/>
    <w:rsid w:val="003104FD"/>
    <w:rsid w:val="003105F9"/>
    <w:rsid w:val="0031188E"/>
    <w:rsid w:val="00311F7E"/>
    <w:rsid w:val="00312115"/>
    <w:rsid w:val="003122DE"/>
    <w:rsid w:val="00312962"/>
    <w:rsid w:val="003138E9"/>
    <w:rsid w:val="003152CD"/>
    <w:rsid w:val="003158F5"/>
    <w:rsid w:val="00315A68"/>
    <w:rsid w:val="00315F3F"/>
    <w:rsid w:val="0031685A"/>
    <w:rsid w:val="00316D3F"/>
    <w:rsid w:val="0031704E"/>
    <w:rsid w:val="003172DF"/>
    <w:rsid w:val="00317AFA"/>
    <w:rsid w:val="00317B3E"/>
    <w:rsid w:val="003202F0"/>
    <w:rsid w:val="00320C18"/>
    <w:rsid w:val="00320EA2"/>
    <w:rsid w:val="003215E2"/>
    <w:rsid w:val="00321B0A"/>
    <w:rsid w:val="00322854"/>
    <w:rsid w:val="00322CB7"/>
    <w:rsid w:val="0032321D"/>
    <w:rsid w:val="00323252"/>
    <w:rsid w:val="00323267"/>
    <w:rsid w:val="0032369B"/>
    <w:rsid w:val="00323E06"/>
    <w:rsid w:val="00324141"/>
    <w:rsid w:val="003243EA"/>
    <w:rsid w:val="003247E0"/>
    <w:rsid w:val="00325304"/>
    <w:rsid w:val="003266FE"/>
    <w:rsid w:val="00326836"/>
    <w:rsid w:val="00326E0E"/>
    <w:rsid w:val="00327177"/>
    <w:rsid w:val="00327940"/>
    <w:rsid w:val="00327DF4"/>
    <w:rsid w:val="00330AEC"/>
    <w:rsid w:val="00330D84"/>
    <w:rsid w:val="00330E91"/>
    <w:rsid w:val="003317FE"/>
    <w:rsid w:val="00332477"/>
    <w:rsid w:val="00332547"/>
    <w:rsid w:val="00332B91"/>
    <w:rsid w:val="0033327B"/>
    <w:rsid w:val="00333663"/>
    <w:rsid w:val="003337F9"/>
    <w:rsid w:val="0033393A"/>
    <w:rsid w:val="00333F64"/>
    <w:rsid w:val="003342E0"/>
    <w:rsid w:val="00334605"/>
    <w:rsid w:val="00334AF5"/>
    <w:rsid w:val="00334BE0"/>
    <w:rsid w:val="0033516D"/>
    <w:rsid w:val="003354FC"/>
    <w:rsid w:val="00335A38"/>
    <w:rsid w:val="003363F4"/>
    <w:rsid w:val="003369BD"/>
    <w:rsid w:val="00336B1A"/>
    <w:rsid w:val="003373DE"/>
    <w:rsid w:val="0033746D"/>
    <w:rsid w:val="003379EA"/>
    <w:rsid w:val="00337A97"/>
    <w:rsid w:val="00337BEC"/>
    <w:rsid w:val="00337DF9"/>
    <w:rsid w:val="00340042"/>
    <w:rsid w:val="00340275"/>
    <w:rsid w:val="0034065B"/>
    <w:rsid w:val="003406B4"/>
    <w:rsid w:val="00340A11"/>
    <w:rsid w:val="00340EC1"/>
    <w:rsid w:val="00341069"/>
    <w:rsid w:val="00341256"/>
    <w:rsid w:val="00341742"/>
    <w:rsid w:val="00341C43"/>
    <w:rsid w:val="00341FF3"/>
    <w:rsid w:val="00342438"/>
    <w:rsid w:val="00342A4D"/>
    <w:rsid w:val="00342B6D"/>
    <w:rsid w:val="00343312"/>
    <w:rsid w:val="003436B0"/>
    <w:rsid w:val="00343B2C"/>
    <w:rsid w:val="00343EFB"/>
    <w:rsid w:val="0034404A"/>
    <w:rsid w:val="0034420A"/>
    <w:rsid w:val="003448E7"/>
    <w:rsid w:val="003448F9"/>
    <w:rsid w:val="00345555"/>
    <w:rsid w:val="003456AB"/>
    <w:rsid w:val="00345F63"/>
    <w:rsid w:val="003463DA"/>
    <w:rsid w:val="003468CB"/>
    <w:rsid w:val="00347516"/>
    <w:rsid w:val="00347615"/>
    <w:rsid w:val="003478B9"/>
    <w:rsid w:val="003478E4"/>
    <w:rsid w:val="00350415"/>
    <w:rsid w:val="00350451"/>
    <w:rsid w:val="0035093A"/>
    <w:rsid w:val="003510C4"/>
    <w:rsid w:val="00351D51"/>
    <w:rsid w:val="0035215C"/>
    <w:rsid w:val="00353D04"/>
    <w:rsid w:val="00353F2A"/>
    <w:rsid w:val="0035421B"/>
    <w:rsid w:val="003546B0"/>
    <w:rsid w:val="00354758"/>
    <w:rsid w:val="0035560C"/>
    <w:rsid w:val="003558F7"/>
    <w:rsid w:val="00355D41"/>
    <w:rsid w:val="003566CC"/>
    <w:rsid w:val="00356B9C"/>
    <w:rsid w:val="00356C2F"/>
    <w:rsid w:val="00356C84"/>
    <w:rsid w:val="00356E32"/>
    <w:rsid w:val="00356EF9"/>
    <w:rsid w:val="00356FFD"/>
    <w:rsid w:val="003573E8"/>
    <w:rsid w:val="003600B1"/>
    <w:rsid w:val="00360674"/>
    <w:rsid w:val="003617DE"/>
    <w:rsid w:val="003625E7"/>
    <w:rsid w:val="003629F7"/>
    <w:rsid w:val="00363685"/>
    <w:rsid w:val="00363B41"/>
    <w:rsid w:val="00364030"/>
    <w:rsid w:val="0036488D"/>
    <w:rsid w:val="00365AA3"/>
    <w:rsid w:val="00365D0A"/>
    <w:rsid w:val="00366746"/>
    <w:rsid w:val="003667F1"/>
    <w:rsid w:val="003669F9"/>
    <w:rsid w:val="00366EDD"/>
    <w:rsid w:val="00366EEA"/>
    <w:rsid w:val="0036799C"/>
    <w:rsid w:val="00367A0C"/>
    <w:rsid w:val="0037028F"/>
    <w:rsid w:val="003705AB"/>
    <w:rsid w:val="0037067D"/>
    <w:rsid w:val="00370FD4"/>
    <w:rsid w:val="003711A8"/>
    <w:rsid w:val="0037180F"/>
    <w:rsid w:val="00371DB8"/>
    <w:rsid w:val="00371F91"/>
    <w:rsid w:val="0037236B"/>
    <w:rsid w:val="0037252A"/>
    <w:rsid w:val="00372D41"/>
    <w:rsid w:val="00373868"/>
    <w:rsid w:val="00373E34"/>
    <w:rsid w:val="00374421"/>
    <w:rsid w:val="00374F44"/>
    <w:rsid w:val="00375770"/>
    <w:rsid w:val="00376040"/>
    <w:rsid w:val="00376C25"/>
    <w:rsid w:val="00377640"/>
    <w:rsid w:val="0037775D"/>
    <w:rsid w:val="00377835"/>
    <w:rsid w:val="00381013"/>
    <w:rsid w:val="00381284"/>
    <w:rsid w:val="00381463"/>
    <w:rsid w:val="00381472"/>
    <w:rsid w:val="00381A59"/>
    <w:rsid w:val="00382793"/>
    <w:rsid w:val="00382A55"/>
    <w:rsid w:val="00383153"/>
    <w:rsid w:val="00383CD8"/>
    <w:rsid w:val="0038412A"/>
    <w:rsid w:val="00384161"/>
    <w:rsid w:val="00384667"/>
    <w:rsid w:val="00384ABB"/>
    <w:rsid w:val="00384B0B"/>
    <w:rsid w:val="00385126"/>
    <w:rsid w:val="00385F96"/>
    <w:rsid w:val="00385FD7"/>
    <w:rsid w:val="00387A24"/>
    <w:rsid w:val="00387EEF"/>
    <w:rsid w:val="00391190"/>
    <w:rsid w:val="003916E5"/>
    <w:rsid w:val="00391AD2"/>
    <w:rsid w:val="00391CED"/>
    <w:rsid w:val="00391E06"/>
    <w:rsid w:val="00391F2A"/>
    <w:rsid w:val="00391F40"/>
    <w:rsid w:val="00392202"/>
    <w:rsid w:val="00392EA3"/>
    <w:rsid w:val="0039320C"/>
    <w:rsid w:val="00395195"/>
    <w:rsid w:val="003956E6"/>
    <w:rsid w:val="00395E53"/>
    <w:rsid w:val="00397AE3"/>
    <w:rsid w:val="00397D8D"/>
    <w:rsid w:val="00397EAE"/>
    <w:rsid w:val="003A06E6"/>
    <w:rsid w:val="003A0B24"/>
    <w:rsid w:val="003A0B2A"/>
    <w:rsid w:val="003A1257"/>
    <w:rsid w:val="003A154B"/>
    <w:rsid w:val="003A1BD4"/>
    <w:rsid w:val="003A1C4A"/>
    <w:rsid w:val="003A2851"/>
    <w:rsid w:val="003A2C70"/>
    <w:rsid w:val="003A2D6A"/>
    <w:rsid w:val="003A2F46"/>
    <w:rsid w:val="003A33CB"/>
    <w:rsid w:val="003A3CEE"/>
    <w:rsid w:val="003A460A"/>
    <w:rsid w:val="003A49DF"/>
    <w:rsid w:val="003A5196"/>
    <w:rsid w:val="003A51CF"/>
    <w:rsid w:val="003A681E"/>
    <w:rsid w:val="003A698F"/>
    <w:rsid w:val="003A71C5"/>
    <w:rsid w:val="003A72C5"/>
    <w:rsid w:val="003A7A96"/>
    <w:rsid w:val="003A7B92"/>
    <w:rsid w:val="003B03B1"/>
    <w:rsid w:val="003B1B56"/>
    <w:rsid w:val="003B262B"/>
    <w:rsid w:val="003B3908"/>
    <w:rsid w:val="003B4168"/>
    <w:rsid w:val="003B422D"/>
    <w:rsid w:val="003B4D24"/>
    <w:rsid w:val="003B5DA1"/>
    <w:rsid w:val="003B5E1A"/>
    <w:rsid w:val="003B636D"/>
    <w:rsid w:val="003B6B0E"/>
    <w:rsid w:val="003B6D15"/>
    <w:rsid w:val="003B6E67"/>
    <w:rsid w:val="003B7316"/>
    <w:rsid w:val="003B74C8"/>
    <w:rsid w:val="003B78D6"/>
    <w:rsid w:val="003C00C6"/>
    <w:rsid w:val="003C0B2F"/>
    <w:rsid w:val="003C1409"/>
    <w:rsid w:val="003C1656"/>
    <w:rsid w:val="003C1F31"/>
    <w:rsid w:val="003C1F9F"/>
    <w:rsid w:val="003C1FB6"/>
    <w:rsid w:val="003C2886"/>
    <w:rsid w:val="003C29D0"/>
    <w:rsid w:val="003C39CE"/>
    <w:rsid w:val="003C4213"/>
    <w:rsid w:val="003C45F2"/>
    <w:rsid w:val="003C4667"/>
    <w:rsid w:val="003C505C"/>
    <w:rsid w:val="003C51A3"/>
    <w:rsid w:val="003C52D0"/>
    <w:rsid w:val="003C6140"/>
    <w:rsid w:val="003C6562"/>
    <w:rsid w:val="003C6BB6"/>
    <w:rsid w:val="003C6E2F"/>
    <w:rsid w:val="003C6E82"/>
    <w:rsid w:val="003C7009"/>
    <w:rsid w:val="003C74F3"/>
    <w:rsid w:val="003C75A5"/>
    <w:rsid w:val="003C792E"/>
    <w:rsid w:val="003C7C72"/>
    <w:rsid w:val="003D059D"/>
    <w:rsid w:val="003D0A4D"/>
    <w:rsid w:val="003D0B5C"/>
    <w:rsid w:val="003D10B4"/>
    <w:rsid w:val="003D1564"/>
    <w:rsid w:val="003D22AD"/>
    <w:rsid w:val="003D25E3"/>
    <w:rsid w:val="003D27D7"/>
    <w:rsid w:val="003D3669"/>
    <w:rsid w:val="003D3EFE"/>
    <w:rsid w:val="003D4442"/>
    <w:rsid w:val="003D4603"/>
    <w:rsid w:val="003D4B09"/>
    <w:rsid w:val="003D5353"/>
    <w:rsid w:val="003D5A13"/>
    <w:rsid w:val="003D5CDA"/>
    <w:rsid w:val="003D617B"/>
    <w:rsid w:val="003D678C"/>
    <w:rsid w:val="003D6A81"/>
    <w:rsid w:val="003D71B6"/>
    <w:rsid w:val="003D72B6"/>
    <w:rsid w:val="003E005D"/>
    <w:rsid w:val="003E01D8"/>
    <w:rsid w:val="003E19C3"/>
    <w:rsid w:val="003E1FE4"/>
    <w:rsid w:val="003E22B2"/>
    <w:rsid w:val="003E2438"/>
    <w:rsid w:val="003E382C"/>
    <w:rsid w:val="003E458F"/>
    <w:rsid w:val="003E4B6C"/>
    <w:rsid w:val="003E54A5"/>
    <w:rsid w:val="003E55FD"/>
    <w:rsid w:val="003E5B24"/>
    <w:rsid w:val="003E637D"/>
    <w:rsid w:val="003E6945"/>
    <w:rsid w:val="003E736B"/>
    <w:rsid w:val="003E7668"/>
    <w:rsid w:val="003E7F92"/>
    <w:rsid w:val="003F0820"/>
    <w:rsid w:val="003F0831"/>
    <w:rsid w:val="003F1181"/>
    <w:rsid w:val="003F14EF"/>
    <w:rsid w:val="003F159A"/>
    <w:rsid w:val="003F1AD3"/>
    <w:rsid w:val="003F20FF"/>
    <w:rsid w:val="003F28F3"/>
    <w:rsid w:val="003F30C3"/>
    <w:rsid w:val="003F409C"/>
    <w:rsid w:val="003F43F8"/>
    <w:rsid w:val="003F4896"/>
    <w:rsid w:val="003F4AAD"/>
    <w:rsid w:val="003F4D0E"/>
    <w:rsid w:val="003F51FB"/>
    <w:rsid w:val="003F5A7E"/>
    <w:rsid w:val="003F65F1"/>
    <w:rsid w:val="003F65F8"/>
    <w:rsid w:val="003F6617"/>
    <w:rsid w:val="003F6B76"/>
    <w:rsid w:val="003F7331"/>
    <w:rsid w:val="003F7B71"/>
    <w:rsid w:val="004002AF"/>
    <w:rsid w:val="004005AE"/>
    <w:rsid w:val="00400744"/>
    <w:rsid w:val="00400913"/>
    <w:rsid w:val="004009A3"/>
    <w:rsid w:val="0040125C"/>
    <w:rsid w:val="004014E3"/>
    <w:rsid w:val="00402707"/>
    <w:rsid w:val="00402A07"/>
    <w:rsid w:val="00402B35"/>
    <w:rsid w:val="0040426C"/>
    <w:rsid w:val="00404522"/>
    <w:rsid w:val="00404CA4"/>
    <w:rsid w:val="00404CBA"/>
    <w:rsid w:val="00405D71"/>
    <w:rsid w:val="0040607A"/>
    <w:rsid w:val="004063D1"/>
    <w:rsid w:val="004064E4"/>
    <w:rsid w:val="00406553"/>
    <w:rsid w:val="004069F0"/>
    <w:rsid w:val="00406A4D"/>
    <w:rsid w:val="00407053"/>
    <w:rsid w:val="004078B3"/>
    <w:rsid w:val="00407C3F"/>
    <w:rsid w:val="00407DEA"/>
    <w:rsid w:val="00410321"/>
    <w:rsid w:val="00410583"/>
    <w:rsid w:val="004107FB"/>
    <w:rsid w:val="00410DA2"/>
    <w:rsid w:val="00410FAA"/>
    <w:rsid w:val="004128D4"/>
    <w:rsid w:val="004138F1"/>
    <w:rsid w:val="0041426C"/>
    <w:rsid w:val="00414697"/>
    <w:rsid w:val="00414778"/>
    <w:rsid w:val="00414F8A"/>
    <w:rsid w:val="00414F93"/>
    <w:rsid w:val="004155BB"/>
    <w:rsid w:val="004159AF"/>
    <w:rsid w:val="004160A0"/>
    <w:rsid w:val="00416A3D"/>
    <w:rsid w:val="00416B4D"/>
    <w:rsid w:val="0041741C"/>
    <w:rsid w:val="00417D17"/>
    <w:rsid w:val="00420036"/>
    <w:rsid w:val="004200F9"/>
    <w:rsid w:val="004201A8"/>
    <w:rsid w:val="00420C7D"/>
    <w:rsid w:val="00420F6B"/>
    <w:rsid w:val="004214DC"/>
    <w:rsid w:val="00421BBB"/>
    <w:rsid w:val="00421C06"/>
    <w:rsid w:val="00421F64"/>
    <w:rsid w:val="0042246F"/>
    <w:rsid w:val="00423536"/>
    <w:rsid w:val="00424072"/>
    <w:rsid w:val="0042497B"/>
    <w:rsid w:val="00424B45"/>
    <w:rsid w:val="00424CB9"/>
    <w:rsid w:val="0042529E"/>
    <w:rsid w:val="004252F4"/>
    <w:rsid w:val="0042561D"/>
    <w:rsid w:val="00425952"/>
    <w:rsid w:val="00425B19"/>
    <w:rsid w:val="00426191"/>
    <w:rsid w:val="004262BF"/>
    <w:rsid w:val="0042762B"/>
    <w:rsid w:val="00427CCB"/>
    <w:rsid w:val="004309DA"/>
    <w:rsid w:val="004310F8"/>
    <w:rsid w:val="0043199E"/>
    <w:rsid w:val="004319F5"/>
    <w:rsid w:val="00432BAB"/>
    <w:rsid w:val="00433AE7"/>
    <w:rsid w:val="00434505"/>
    <w:rsid w:val="00435553"/>
    <w:rsid w:val="00436186"/>
    <w:rsid w:val="004361DD"/>
    <w:rsid w:val="00436392"/>
    <w:rsid w:val="00436E42"/>
    <w:rsid w:val="004374D4"/>
    <w:rsid w:val="0043767A"/>
    <w:rsid w:val="00437806"/>
    <w:rsid w:val="004401B9"/>
    <w:rsid w:val="004401E5"/>
    <w:rsid w:val="00440428"/>
    <w:rsid w:val="004407DC"/>
    <w:rsid w:val="00440A6A"/>
    <w:rsid w:val="00440EA4"/>
    <w:rsid w:val="00440F7C"/>
    <w:rsid w:val="00441049"/>
    <w:rsid w:val="0044115C"/>
    <w:rsid w:val="0044170B"/>
    <w:rsid w:val="0044219F"/>
    <w:rsid w:val="004431DD"/>
    <w:rsid w:val="004456C4"/>
    <w:rsid w:val="0044576B"/>
    <w:rsid w:val="00445DAA"/>
    <w:rsid w:val="004460A6"/>
    <w:rsid w:val="004466D1"/>
    <w:rsid w:val="0044688A"/>
    <w:rsid w:val="00447078"/>
    <w:rsid w:val="004479F1"/>
    <w:rsid w:val="00447C72"/>
    <w:rsid w:val="00450209"/>
    <w:rsid w:val="00450258"/>
    <w:rsid w:val="00450B74"/>
    <w:rsid w:val="00451578"/>
    <w:rsid w:val="004517DC"/>
    <w:rsid w:val="004520DD"/>
    <w:rsid w:val="004526AB"/>
    <w:rsid w:val="004528BC"/>
    <w:rsid w:val="00452B04"/>
    <w:rsid w:val="00452C22"/>
    <w:rsid w:val="00452C79"/>
    <w:rsid w:val="00453B63"/>
    <w:rsid w:val="004560F0"/>
    <w:rsid w:val="004561EE"/>
    <w:rsid w:val="00456A81"/>
    <w:rsid w:val="00456D4F"/>
    <w:rsid w:val="00456F1E"/>
    <w:rsid w:val="00456F8E"/>
    <w:rsid w:val="0045757C"/>
    <w:rsid w:val="00460328"/>
    <w:rsid w:val="00461351"/>
    <w:rsid w:val="004615E7"/>
    <w:rsid w:val="00461BF9"/>
    <w:rsid w:val="00461DA5"/>
    <w:rsid w:val="00462036"/>
    <w:rsid w:val="00462133"/>
    <w:rsid w:val="00462387"/>
    <w:rsid w:val="004624E1"/>
    <w:rsid w:val="00462B39"/>
    <w:rsid w:val="004633F7"/>
    <w:rsid w:val="00463467"/>
    <w:rsid w:val="0046402A"/>
    <w:rsid w:val="0046456E"/>
    <w:rsid w:val="004646A1"/>
    <w:rsid w:val="00464795"/>
    <w:rsid w:val="00464809"/>
    <w:rsid w:val="0046539E"/>
    <w:rsid w:val="00465603"/>
    <w:rsid w:val="00466259"/>
    <w:rsid w:val="00466721"/>
    <w:rsid w:val="004668BD"/>
    <w:rsid w:val="004668D2"/>
    <w:rsid w:val="00467909"/>
    <w:rsid w:val="0047027E"/>
    <w:rsid w:val="004704B1"/>
    <w:rsid w:val="004712B9"/>
    <w:rsid w:val="00471B72"/>
    <w:rsid w:val="00471F9E"/>
    <w:rsid w:val="0047256C"/>
    <w:rsid w:val="00472725"/>
    <w:rsid w:val="00473605"/>
    <w:rsid w:val="00473F38"/>
    <w:rsid w:val="00474073"/>
    <w:rsid w:val="00474396"/>
    <w:rsid w:val="004746EF"/>
    <w:rsid w:val="0047471D"/>
    <w:rsid w:val="00474882"/>
    <w:rsid w:val="00474CF3"/>
    <w:rsid w:val="00475309"/>
    <w:rsid w:val="00475AE6"/>
    <w:rsid w:val="00475D73"/>
    <w:rsid w:val="00476107"/>
    <w:rsid w:val="00476E7D"/>
    <w:rsid w:val="0047746A"/>
    <w:rsid w:val="00480851"/>
    <w:rsid w:val="00480B8B"/>
    <w:rsid w:val="00481183"/>
    <w:rsid w:val="004819F7"/>
    <w:rsid w:val="004826D8"/>
    <w:rsid w:val="00482990"/>
    <w:rsid w:val="00483118"/>
    <w:rsid w:val="004837C9"/>
    <w:rsid w:val="00483B73"/>
    <w:rsid w:val="00483CA9"/>
    <w:rsid w:val="00484475"/>
    <w:rsid w:val="00484846"/>
    <w:rsid w:val="00484FD0"/>
    <w:rsid w:val="0048614C"/>
    <w:rsid w:val="00486C02"/>
    <w:rsid w:val="004870C2"/>
    <w:rsid w:val="00487101"/>
    <w:rsid w:val="004875BE"/>
    <w:rsid w:val="0048761E"/>
    <w:rsid w:val="00487FAD"/>
    <w:rsid w:val="004902BB"/>
    <w:rsid w:val="004907D6"/>
    <w:rsid w:val="00490A29"/>
    <w:rsid w:val="00490A81"/>
    <w:rsid w:val="00490C49"/>
    <w:rsid w:val="00490E77"/>
    <w:rsid w:val="00490F9D"/>
    <w:rsid w:val="00491157"/>
    <w:rsid w:val="00491348"/>
    <w:rsid w:val="00491389"/>
    <w:rsid w:val="004913C7"/>
    <w:rsid w:val="004915A4"/>
    <w:rsid w:val="004926B4"/>
    <w:rsid w:val="00492BB9"/>
    <w:rsid w:val="00492BCA"/>
    <w:rsid w:val="00492EFB"/>
    <w:rsid w:val="00492F4E"/>
    <w:rsid w:val="00493137"/>
    <w:rsid w:val="00493668"/>
    <w:rsid w:val="00493DAA"/>
    <w:rsid w:val="0049424F"/>
    <w:rsid w:val="004943EE"/>
    <w:rsid w:val="00495C5E"/>
    <w:rsid w:val="00496868"/>
    <w:rsid w:val="00497063"/>
    <w:rsid w:val="0049756F"/>
    <w:rsid w:val="0049776E"/>
    <w:rsid w:val="00497B7F"/>
    <w:rsid w:val="004A01F0"/>
    <w:rsid w:val="004A0897"/>
    <w:rsid w:val="004A1200"/>
    <w:rsid w:val="004A13E8"/>
    <w:rsid w:val="004A15DF"/>
    <w:rsid w:val="004A1760"/>
    <w:rsid w:val="004A1E36"/>
    <w:rsid w:val="004A20CE"/>
    <w:rsid w:val="004A2155"/>
    <w:rsid w:val="004A2CD0"/>
    <w:rsid w:val="004A2DA2"/>
    <w:rsid w:val="004A2DB4"/>
    <w:rsid w:val="004A300E"/>
    <w:rsid w:val="004A3256"/>
    <w:rsid w:val="004A4001"/>
    <w:rsid w:val="004A42D3"/>
    <w:rsid w:val="004A58A8"/>
    <w:rsid w:val="004A622D"/>
    <w:rsid w:val="004A62DC"/>
    <w:rsid w:val="004A64E0"/>
    <w:rsid w:val="004A68C3"/>
    <w:rsid w:val="004A6A62"/>
    <w:rsid w:val="004A6B85"/>
    <w:rsid w:val="004A7607"/>
    <w:rsid w:val="004A78D8"/>
    <w:rsid w:val="004A79E3"/>
    <w:rsid w:val="004A7B66"/>
    <w:rsid w:val="004A7C23"/>
    <w:rsid w:val="004A7D08"/>
    <w:rsid w:val="004B1382"/>
    <w:rsid w:val="004B2B52"/>
    <w:rsid w:val="004B34C7"/>
    <w:rsid w:val="004B40C5"/>
    <w:rsid w:val="004B40CD"/>
    <w:rsid w:val="004B416F"/>
    <w:rsid w:val="004B4442"/>
    <w:rsid w:val="004B48BE"/>
    <w:rsid w:val="004B49F3"/>
    <w:rsid w:val="004B4A17"/>
    <w:rsid w:val="004B4E17"/>
    <w:rsid w:val="004B5CAD"/>
    <w:rsid w:val="004B6414"/>
    <w:rsid w:val="004B69E8"/>
    <w:rsid w:val="004B6ACB"/>
    <w:rsid w:val="004B6AEC"/>
    <w:rsid w:val="004B743E"/>
    <w:rsid w:val="004B77D3"/>
    <w:rsid w:val="004B781A"/>
    <w:rsid w:val="004C07FC"/>
    <w:rsid w:val="004C0B9A"/>
    <w:rsid w:val="004C0D38"/>
    <w:rsid w:val="004C12F9"/>
    <w:rsid w:val="004C16F4"/>
    <w:rsid w:val="004C1920"/>
    <w:rsid w:val="004C4863"/>
    <w:rsid w:val="004C56C4"/>
    <w:rsid w:val="004C5BBC"/>
    <w:rsid w:val="004C726D"/>
    <w:rsid w:val="004C75E3"/>
    <w:rsid w:val="004C7FAF"/>
    <w:rsid w:val="004D00FE"/>
    <w:rsid w:val="004D03E5"/>
    <w:rsid w:val="004D0CCA"/>
    <w:rsid w:val="004D266D"/>
    <w:rsid w:val="004D2B01"/>
    <w:rsid w:val="004D32C2"/>
    <w:rsid w:val="004D3B7A"/>
    <w:rsid w:val="004D3DD3"/>
    <w:rsid w:val="004D57EA"/>
    <w:rsid w:val="004D5921"/>
    <w:rsid w:val="004D6F49"/>
    <w:rsid w:val="004D7FE0"/>
    <w:rsid w:val="004E086A"/>
    <w:rsid w:val="004E11A8"/>
    <w:rsid w:val="004E152C"/>
    <w:rsid w:val="004E185B"/>
    <w:rsid w:val="004E1EE3"/>
    <w:rsid w:val="004E2314"/>
    <w:rsid w:val="004E2410"/>
    <w:rsid w:val="004E2944"/>
    <w:rsid w:val="004E3652"/>
    <w:rsid w:val="004E4222"/>
    <w:rsid w:val="004E4840"/>
    <w:rsid w:val="004E5585"/>
    <w:rsid w:val="004E69FF"/>
    <w:rsid w:val="004E754F"/>
    <w:rsid w:val="004F038F"/>
    <w:rsid w:val="004F0CDB"/>
    <w:rsid w:val="004F0F90"/>
    <w:rsid w:val="004F134D"/>
    <w:rsid w:val="004F203D"/>
    <w:rsid w:val="004F25BD"/>
    <w:rsid w:val="004F2613"/>
    <w:rsid w:val="004F3347"/>
    <w:rsid w:val="004F36E9"/>
    <w:rsid w:val="004F40FD"/>
    <w:rsid w:val="004F477D"/>
    <w:rsid w:val="004F4D96"/>
    <w:rsid w:val="004F4E8B"/>
    <w:rsid w:val="004F55F7"/>
    <w:rsid w:val="004F579C"/>
    <w:rsid w:val="004F5B74"/>
    <w:rsid w:val="004F5BED"/>
    <w:rsid w:val="004F711B"/>
    <w:rsid w:val="004F728C"/>
    <w:rsid w:val="004F7889"/>
    <w:rsid w:val="004F7CE8"/>
    <w:rsid w:val="005003CF"/>
    <w:rsid w:val="005011C2"/>
    <w:rsid w:val="0050195C"/>
    <w:rsid w:val="00501D5F"/>
    <w:rsid w:val="00501EF7"/>
    <w:rsid w:val="00502B57"/>
    <w:rsid w:val="00502E67"/>
    <w:rsid w:val="0050469B"/>
    <w:rsid w:val="00504D33"/>
    <w:rsid w:val="00505449"/>
    <w:rsid w:val="00505A1B"/>
    <w:rsid w:val="00506D73"/>
    <w:rsid w:val="00506EB6"/>
    <w:rsid w:val="0050719A"/>
    <w:rsid w:val="00511D91"/>
    <w:rsid w:val="00512EAA"/>
    <w:rsid w:val="00513028"/>
    <w:rsid w:val="0051354C"/>
    <w:rsid w:val="00514877"/>
    <w:rsid w:val="00514D6A"/>
    <w:rsid w:val="00514EAF"/>
    <w:rsid w:val="00515FDA"/>
    <w:rsid w:val="005160A0"/>
    <w:rsid w:val="00516603"/>
    <w:rsid w:val="005169BA"/>
    <w:rsid w:val="0051707A"/>
    <w:rsid w:val="00517186"/>
    <w:rsid w:val="0051720F"/>
    <w:rsid w:val="00517E90"/>
    <w:rsid w:val="005205E2"/>
    <w:rsid w:val="0052079E"/>
    <w:rsid w:val="00521B18"/>
    <w:rsid w:val="00522593"/>
    <w:rsid w:val="005231A7"/>
    <w:rsid w:val="0052334F"/>
    <w:rsid w:val="00523E0A"/>
    <w:rsid w:val="005243B4"/>
    <w:rsid w:val="00524950"/>
    <w:rsid w:val="00524A5E"/>
    <w:rsid w:val="0052529B"/>
    <w:rsid w:val="005252BC"/>
    <w:rsid w:val="005263CF"/>
    <w:rsid w:val="00526DA3"/>
    <w:rsid w:val="005272CA"/>
    <w:rsid w:val="0052765D"/>
    <w:rsid w:val="005276C5"/>
    <w:rsid w:val="00527BD7"/>
    <w:rsid w:val="00527E3E"/>
    <w:rsid w:val="00530B85"/>
    <w:rsid w:val="00530D2D"/>
    <w:rsid w:val="005311B1"/>
    <w:rsid w:val="0053147C"/>
    <w:rsid w:val="00531B49"/>
    <w:rsid w:val="0053216D"/>
    <w:rsid w:val="0053264E"/>
    <w:rsid w:val="00532955"/>
    <w:rsid w:val="005329E2"/>
    <w:rsid w:val="00532CEB"/>
    <w:rsid w:val="00532D1E"/>
    <w:rsid w:val="005338E6"/>
    <w:rsid w:val="005338F2"/>
    <w:rsid w:val="00533F04"/>
    <w:rsid w:val="005359B0"/>
    <w:rsid w:val="00535FEE"/>
    <w:rsid w:val="00536953"/>
    <w:rsid w:val="00536E3E"/>
    <w:rsid w:val="005373F7"/>
    <w:rsid w:val="00537D16"/>
    <w:rsid w:val="00540184"/>
    <w:rsid w:val="005409AE"/>
    <w:rsid w:val="00541110"/>
    <w:rsid w:val="00541F37"/>
    <w:rsid w:val="005420CE"/>
    <w:rsid w:val="00542566"/>
    <w:rsid w:val="005425DD"/>
    <w:rsid w:val="005428D7"/>
    <w:rsid w:val="00542A17"/>
    <w:rsid w:val="005432AA"/>
    <w:rsid w:val="005433E0"/>
    <w:rsid w:val="00545553"/>
    <w:rsid w:val="00545631"/>
    <w:rsid w:val="00545AC4"/>
    <w:rsid w:val="00545CD6"/>
    <w:rsid w:val="005466A0"/>
    <w:rsid w:val="00546CEB"/>
    <w:rsid w:val="00546EAC"/>
    <w:rsid w:val="00547157"/>
    <w:rsid w:val="005507DC"/>
    <w:rsid w:val="00550D69"/>
    <w:rsid w:val="005514A1"/>
    <w:rsid w:val="00551988"/>
    <w:rsid w:val="0055209F"/>
    <w:rsid w:val="00552588"/>
    <w:rsid w:val="00552789"/>
    <w:rsid w:val="00552A52"/>
    <w:rsid w:val="00552F83"/>
    <w:rsid w:val="005530A7"/>
    <w:rsid w:val="00553D7D"/>
    <w:rsid w:val="005553A1"/>
    <w:rsid w:val="00555CBC"/>
    <w:rsid w:val="0055625D"/>
    <w:rsid w:val="00556422"/>
    <w:rsid w:val="00556D63"/>
    <w:rsid w:val="00557E44"/>
    <w:rsid w:val="00560372"/>
    <w:rsid w:val="005613A4"/>
    <w:rsid w:val="00562D52"/>
    <w:rsid w:val="005631CF"/>
    <w:rsid w:val="00563604"/>
    <w:rsid w:val="00563663"/>
    <w:rsid w:val="0056389B"/>
    <w:rsid w:val="00563C3D"/>
    <w:rsid w:val="0056410C"/>
    <w:rsid w:val="0056488E"/>
    <w:rsid w:val="00564965"/>
    <w:rsid w:val="00564BEA"/>
    <w:rsid w:val="00564F55"/>
    <w:rsid w:val="00565909"/>
    <w:rsid w:val="00567184"/>
    <w:rsid w:val="00567226"/>
    <w:rsid w:val="0056789E"/>
    <w:rsid w:val="00567F52"/>
    <w:rsid w:val="005701F8"/>
    <w:rsid w:val="005702FA"/>
    <w:rsid w:val="00570A71"/>
    <w:rsid w:val="00571D26"/>
    <w:rsid w:val="0057219C"/>
    <w:rsid w:val="0057272A"/>
    <w:rsid w:val="005729F8"/>
    <w:rsid w:val="00573685"/>
    <w:rsid w:val="005738A8"/>
    <w:rsid w:val="005738AE"/>
    <w:rsid w:val="00573D5B"/>
    <w:rsid w:val="005740CC"/>
    <w:rsid w:val="00574462"/>
    <w:rsid w:val="005745B7"/>
    <w:rsid w:val="00574B65"/>
    <w:rsid w:val="00575303"/>
    <w:rsid w:val="005757AA"/>
    <w:rsid w:val="005760CF"/>
    <w:rsid w:val="00576121"/>
    <w:rsid w:val="005768BD"/>
    <w:rsid w:val="00577F98"/>
    <w:rsid w:val="0058002A"/>
    <w:rsid w:val="00580B9C"/>
    <w:rsid w:val="00580DB5"/>
    <w:rsid w:val="00580FF4"/>
    <w:rsid w:val="005812F1"/>
    <w:rsid w:val="00581762"/>
    <w:rsid w:val="00581A20"/>
    <w:rsid w:val="005825E2"/>
    <w:rsid w:val="00583407"/>
    <w:rsid w:val="005836C4"/>
    <w:rsid w:val="00583BF7"/>
    <w:rsid w:val="00583F68"/>
    <w:rsid w:val="00584989"/>
    <w:rsid w:val="00584A0E"/>
    <w:rsid w:val="00586DDA"/>
    <w:rsid w:val="0058702E"/>
    <w:rsid w:val="005871F7"/>
    <w:rsid w:val="00587489"/>
    <w:rsid w:val="00590273"/>
    <w:rsid w:val="0059086A"/>
    <w:rsid w:val="0059125F"/>
    <w:rsid w:val="0059207A"/>
    <w:rsid w:val="0059367E"/>
    <w:rsid w:val="00593B92"/>
    <w:rsid w:val="00594322"/>
    <w:rsid w:val="005956D8"/>
    <w:rsid w:val="00596EDB"/>
    <w:rsid w:val="00597078"/>
    <w:rsid w:val="00597FD0"/>
    <w:rsid w:val="005A0652"/>
    <w:rsid w:val="005A0D49"/>
    <w:rsid w:val="005A0E05"/>
    <w:rsid w:val="005A18C5"/>
    <w:rsid w:val="005A2AF9"/>
    <w:rsid w:val="005A3044"/>
    <w:rsid w:val="005A362C"/>
    <w:rsid w:val="005A38AE"/>
    <w:rsid w:val="005A3DA9"/>
    <w:rsid w:val="005A5415"/>
    <w:rsid w:val="005A5C80"/>
    <w:rsid w:val="005A6AC4"/>
    <w:rsid w:val="005A6E36"/>
    <w:rsid w:val="005A738C"/>
    <w:rsid w:val="005A7777"/>
    <w:rsid w:val="005A7FDD"/>
    <w:rsid w:val="005B053B"/>
    <w:rsid w:val="005B1558"/>
    <w:rsid w:val="005B28F8"/>
    <w:rsid w:val="005B334F"/>
    <w:rsid w:val="005B354C"/>
    <w:rsid w:val="005B3A6B"/>
    <w:rsid w:val="005B3AAE"/>
    <w:rsid w:val="005B3C02"/>
    <w:rsid w:val="005B46ED"/>
    <w:rsid w:val="005B46F2"/>
    <w:rsid w:val="005B4C3B"/>
    <w:rsid w:val="005B5614"/>
    <w:rsid w:val="005B58A1"/>
    <w:rsid w:val="005B632E"/>
    <w:rsid w:val="005B6E0B"/>
    <w:rsid w:val="005B767F"/>
    <w:rsid w:val="005C0052"/>
    <w:rsid w:val="005C0742"/>
    <w:rsid w:val="005C1B49"/>
    <w:rsid w:val="005C3547"/>
    <w:rsid w:val="005C37FF"/>
    <w:rsid w:val="005C3828"/>
    <w:rsid w:val="005C3C52"/>
    <w:rsid w:val="005C4AE1"/>
    <w:rsid w:val="005C50C6"/>
    <w:rsid w:val="005C51C2"/>
    <w:rsid w:val="005C557A"/>
    <w:rsid w:val="005C573F"/>
    <w:rsid w:val="005C5B84"/>
    <w:rsid w:val="005C6125"/>
    <w:rsid w:val="005C673B"/>
    <w:rsid w:val="005C6873"/>
    <w:rsid w:val="005C724C"/>
    <w:rsid w:val="005C7294"/>
    <w:rsid w:val="005C7483"/>
    <w:rsid w:val="005C76E1"/>
    <w:rsid w:val="005C7818"/>
    <w:rsid w:val="005C7D14"/>
    <w:rsid w:val="005D02DA"/>
    <w:rsid w:val="005D06F8"/>
    <w:rsid w:val="005D13E9"/>
    <w:rsid w:val="005D2388"/>
    <w:rsid w:val="005D291B"/>
    <w:rsid w:val="005D29BC"/>
    <w:rsid w:val="005D3F55"/>
    <w:rsid w:val="005D3F96"/>
    <w:rsid w:val="005D4AB6"/>
    <w:rsid w:val="005D4C24"/>
    <w:rsid w:val="005D5059"/>
    <w:rsid w:val="005D5E20"/>
    <w:rsid w:val="005D63E7"/>
    <w:rsid w:val="005D6783"/>
    <w:rsid w:val="005D6A70"/>
    <w:rsid w:val="005D74B4"/>
    <w:rsid w:val="005D750F"/>
    <w:rsid w:val="005E0157"/>
    <w:rsid w:val="005E026C"/>
    <w:rsid w:val="005E0395"/>
    <w:rsid w:val="005E0FE0"/>
    <w:rsid w:val="005E122B"/>
    <w:rsid w:val="005E1230"/>
    <w:rsid w:val="005E16A6"/>
    <w:rsid w:val="005E20BB"/>
    <w:rsid w:val="005E33A2"/>
    <w:rsid w:val="005E3AB5"/>
    <w:rsid w:val="005E3CAD"/>
    <w:rsid w:val="005E44C5"/>
    <w:rsid w:val="005E4E9A"/>
    <w:rsid w:val="005E5122"/>
    <w:rsid w:val="005E5CF6"/>
    <w:rsid w:val="005E65C4"/>
    <w:rsid w:val="005E6B59"/>
    <w:rsid w:val="005E7157"/>
    <w:rsid w:val="005E7AD8"/>
    <w:rsid w:val="005E7B1C"/>
    <w:rsid w:val="005F007E"/>
    <w:rsid w:val="005F07E1"/>
    <w:rsid w:val="005F0CE9"/>
    <w:rsid w:val="005F0E44"/>
    <w:rsid w:val="005F16B2"/>
    <w:rsid w:val="005F1B5E"/>
    <w:rsid w:val="005F259D"/>
    <w:rsid w:val="005F2668"/>
    <w:rsid w:val="005F2758"/>
    <w:rsid w:val="005F3397"/>
    <w:rsid w:val="005F3AC6"/>
    <w:rsid w:val="005F4379"/>
    <w:rsid w:val="005F5470"/>
    <w:rsid w:val="005F5481"/>
    <w:rsid w:val="005F54D5"/>
    <w:rsid w:val="005F5DE2"/>
    <w:rsid w:val="005F63E1"/>
    <w:rsid w:val="005F6D04"/>
    <w:rsid w:val="005F753C"/>
    <w:rsid w:val="005F7AE7"/>
    <w:rsid w:val="005F7D99"/>
    <w:rsid w:val="005F7FCE"/>
    <w:rsid w:val="00600116"/>
    <w:rsid w:val="006005FE"/>
    <w:rsid w:val="00600F2E"/>
    <w:rsid w:val="0060175D"/>
    <w:rsid w:val="00602A37"/>
    <w:rsid w:val="00602ED4"/>
    <w:rsid w:val="00603633"/>
    <w:rsid w:val="006040BF"/>
    <w:rsid w:val="00604D49"/>
    <w:rsid w:val="00604E5A"/>
    <w:rsid w:val="00604F1A"/>
    <w:rsid w:val="0060521F"/>
    <w:rsid w:val="006056FC"/>
    <w:rsid w:val="006061F8"/>
    <w:rsid w:val="00606323"/>
    <w:rsid w:val="006066C0"/>
    <w:rsid w:val="00607DD6"/>
    <w:rsid w:val="00610511"/>
    <w:rsid w:val="006109AA"/>
    <w:rsid w:val="00610B44"/>
    <w:rsid w:val="00610C4C"/>
    <w:rsid w:val="006113A8"/>
    <w:rsid w:val="00611B6C"/>
    <w:rsid w:val="00611BBD"/>
    <w:rsid w:val="00612CC4"/>
    <w:rsid w:val="00613177"/>
    <w:rsid w:val="006136F2"/>
    <w:rsid w:val="00613886"/>
    <w:rsid w:val="006147C6"/>
    <w:rsid w:val="00614886"/>
    <w:rsid w:val="00614B35"/>
    <w:rsid w:val="00614E97"/>
    <w:rsid w:val="006150F2"/>
    <w:rsid w:val="006151B0"/>
    <w:rsid w:val="0061545C"/>
    <w:rsid w:val="00615C2A"/>
    <w:rsid w:val="00615C84"/>
    <w:rsid w:val="00615DBB"/>
    <w:rsid w:val="00615F4C"/>
    <w:rsid w:val="006160C9"/>
    <w:rsid w:val="00617D8A"/>
    <w:rsid w:val="00617F1D"/>
    <w:rsid w:val="00620FE8"/>
    <w:rsid w:val="00621363"/>
    <w:rsid w:val="0062153A"/>
    <w:rsid w:val="006220F6"/>
    <w:rsid w:val="00622117"/>
    <w:rsid w:val="00622555"/>
    <w:rsid w:val="00622925"/>
    <w:rsid w:val="00622BD9"/>
    <w:rsid w:val="00623456"/>
    <w:rsid w:val="006239EA"/>
    <w:rsid w:val="00623C3B"/>
    <w:rsid w:val="00624461"/>
    <w:rsid w:val="0062466C"/>
    <w:rsid w:val="00625181"/>
    <w:rsid w:val="006255F6"/>
    <w:rsid w:val="00626033"/>
    <w:rsid w:val="00626288"/>
    <w:rsid w:val="00627A6C"/>
    <w:rsid w:val="00627D87"/>
    <w:rsid w:val="0063091F"/>
    <w:rsid w:val="00630CA2"/>
    <w:rsid w:val="006311F9"/>
    <w:rsid w:val="00631925"/>
    <w:rsid w:val="00631A18"/>
    <w:rsid w:val="00631EE8"/>
    <w:rsid w:val="0063342F"/>
    <w:rsid w:val="006343EE"/>
    <w:rsid w:val="00634489"/>
    <w:rsid w:val="00635BA1"/>
    <w:rsid w:val="006363AF"/>
    <w:rsid w:val="006367FA"/>
    <w:rsid w:val="00636A38"/>
    <w:rsid w:val="0063702C"/>
    <w:rsid w:val="00637EA2"/>
    <w:rsid w:val="00640037"/>
    <w:rsid w:val="006405D9"/>
    <w:rsid w:val="006409F0"/>
    <w:rsid w:val="00641414"/>
    <w:rsid w:val="00641574"/>
    <w:rsid w:val="00641E5B"/>
    <w:rsid w:val="00642951"/>
    <w:rsid w:val="00642C69"/>
    <w:rsid w:val="006432A8"/>
    <w:rsid w:val="00643C4B"/>
    <w:rsid w:val="00643DB9"/>
    <w:rsid w:val="00643E33"/>
    <w:rsid w:val="00644292"/>
    <w:rsid w:val="00644524"/>
    <w:rsid w:val="006448F0"/>
    <w:rsid w:val="00644BC1"/>
    <w:rsid w:val="0064502D"/>
    <w:rsid w:val="006459CA"/>
    <w:rsid w:val="00645D80"/>
    <w:rsid w:val="00646160"/>
    <w:rsid w:val="006465E4"/>
    <w:rsid w:val="0064661D"/>
    <w:rsid w:val="00646E35"/>
    <w:rsid w:val="00646E5A"/>
    <w:rsid w:val="006474E5"/>
    <w:rsid w:val="00650314"/>
    <w:rsid w:val="0065099D"/>
    <w:rsid w:val="00650B43"/>
    <w:rsid w:val="00650DA8"/>
    <w:rsid w:val="006511E5"/>
    <w:rsid w:val="006517ED"/>
    <w:rsid w:val="006529F1"/>
    <w:rsid w:val="00652F23"/>
    <w:rsid w:val="0065373C"/>
    <w:rsid w:val="0065386F"/>
    <w:rsid w:val="00653938"/>
    <w:rsid w:val="00653A80"/>
    <w:rsid w:val="0065402F"/>
    <w:rsid w:val="00654C27"/>
    <w:rsid w:val="00654DA4"/>
    <w:rsid w:val="00654E22"/>
    <w:rsid w:val="00654EF1"/>
    <w:rsid w:val="00655C0C"/>
    <w:rsid w:val="00655C24"/>
    <w:rsid w:val="006566F4"/>
    <w:rsid w:val="00656777"/>
    <w:rsid w:val="0065736C"/>
    <w:rsid w:val="00657661"/>
    <w:rsid w:val="006578E7"/>
    <w:rsid w:val="0066004B"/>
    <w:rsid w:val="00660558"/>
    <w:rsid w:val="0066059F"/>
    <w:rsid w:val="006607C5"/>
    <w:rsid w:val="006610F2"/>
    <w:rsid w:val="00661374"/>
    <w:rsid w:val="00661537"/>
    <w:rsid w:val="00661677"/>
    <w:rsid w:val="006618F3"/>
    <w:rsid w:val="00661BD5"/>
    <w:rsid w:val="006620F8"/>
    <w:rsid w:val="006624AF"/>
    <w:rsid w:val="00662955"/>
    <w:rsid w:val="00663A76"/>
    <w:rsid w:val="006646A8"/>
    <w:rsid w:val="00664CA7"/>
    <w:rsid w:val="00665060"/>
    <w:rsid w:val="0066507D"/>
    <w:rsid w:val="00665138"/>
    <w:rsid w:val="00665228"/>
    <w:rsid w:val="00665380"/>
    <w:rsid w:val="0066539E"/>
    <w:rsid w:val="00665DE0"/>
    <w:rsid w:val="00665F6C"/>
    <w:rsid w:val="0066616A"/>
    <w:rsid w:val="00666728"/>
    <w:rsid w:val="00667115"/>
    <w:rsid w:val="00667BAA"/>
    <w:rsid w:val="00667FFE"/>
    <w:rsid w:val="00670761"/>
    <w:rsid w:val="006709C0"/>
    <w:rsid w:val="006713A5"/>
    <w:rsid w:val="0067146D"/>
    <w:rsid w:val="0067178E"/>
    <w:rsid w:val="00671B77"/>
    <w:rsid w:val="0067240A"/>
    <w:rsid w:val="006724EB"/>
    <w:rsid w:val="0067301A"/>
    <w:rsid w:val="00673039"/>
    <w:rsid w:val="0067318A"/>
    <w:rsid w:val="006734CD"/>
    <w:rsid w:val="00673ABF"/>
    <w:rsid w:val="00673DA2"/>
    <w:rsid w:val="00674A47"/>
    <w:rsid w:val="00674A57"/>
    <w:rsid w:val="00674D02"/>
    <w:rsid w:val="00675B02"/>
    <w:rsid w:val="00675E27"/>
    <w:rsid w:val="00675EAB"/>
    <w:rsid w:val="00677598"/>
    <w:rsid w:val="006776CE"/>
    <w:rsid w:val="006777A9"/>
    <w:rsid w:val="006778EA"/>
    <w:rsid w:val="00677D35"/>
    <w:rsid w:val="00677ECD"/>
    <w:rsid w:val="006820CC"/>
    <w:rsid w:val="0068295A"/>
    <w:rsid w:val="00683834"/>
    <w:rsid w:val="00683AFE"/>
    <w:rsid w:val="006853BA"/>
    <w:rsid w:val="00686AFD"/>
    <w:rsid w:val="00686B7F"/>
    <w:rsid w:val="00687894"/>
    <w:rsid w:val="00687ED1"/>
    <w:rsid w:val="006904F7"/>
    <w:rsid w:val="0069073B"/>
    <w:rsid w:val="00690C34"/>
    <w:rsid w:val="00690C89"/>
    <w:rsid w:val="00691BE0"/>
    <w:rsid w:val="00691FCB"/>
    <w:rsid w:val="00692303"/>
    <w:rsid w:val="006923CD"/>
    <w:rsid w:val="006928DA"/>
    <w:rsid w:val="0069345C"/>
    <w:rsid w:val="006941B1"/>
    <w:rsid w:val="00694392"/>
    <w:rsid w:val="006945D9"/>
    <w:rsid w:val="006950AD"/>
    <w:rsid w:val="006955BF"/>
    <w:rsid w:val="00695702"/>
    <w:rsid w:val="00695743"/>
    <w:rsid w:val="00695761"/>
    <w:rsid w:val="00695B1A"/>
    <w:rsid w:val="00695F6B"/>
    <w:rsid w:val="0069730A"/>
    <w:rsid w:val="00697C6D"/>
    <w:rsid w:val="006A000B"/>
    <w:rsid w:val="006A030E"/>
    <w:rsid w:val="006A036B"/>
    <w:rsid w:val="006A03C0"/>
    <w:rsid w:val="006A0445"/>
    <w:rsid w:val="006A06BD"/>
    <w:rsid w:val="006A135F"/>
    <w:rsid w:val="006A1A93"/>
    <w:rsid w:val="006A205B"/>
    <w:rsid w:val="006A2844"/>
    <w:rsid w:val="006A30D9"/>
    <w:rsid w:val="006A3672"/>
    <w:rsid w:val="006A3D5F"/>
    <w:rsid w:val="006A3F26"/>
    <w:rsid w:val="006A411C"/>
    <w:rsid w:val="006A4442"/>
    <w:rsid w:val="006A4BDE"/>
    <w:rsid w:val="006A4D90"/>
    <w:rsid w:val="006A51D2"/>
    <w:rsid w:val="006A53D2"/>
    <w:rsid w:val="006A5437"/>
    <w:rsid w:val="006A5769"/>
    <w:rsid w:val="006A5AF4"/>
    <w:rsid w:val="006A6070"/>
    <w:rsid w:val="006A6B7C"/>
    <w:rsid w:val="006A70AA"/>
    <w:rsid w:val="006A79BD"/>
    <w:rsid w:val="006A7A93"/>
    <w:rsid w:val="006B058F"/>
    <w:rsid w:val="006B0735"/>
    <w:rsid w:val="006B1C39"/>
    <w:rsid w:val="006B2067"/>
    <w:rsid w:val="006B2CA5"/>
    <w:rsid w:val="006B31EB"/>
    <w:rsid w:val="006B49B3"/>
    <w:rsid w:val="006B512D"/>
    <w:rsid w:val="006B56FE"/>
    <w:rsid w:val="006B5DB8"/>
    <w:rsid w:val="006B6346"/>
    <w:rsid w:val="006B637B"/>
    <w:rsid w:val="006B6CF6"/>
    <w:rsid w:val="006B7069"/>
    <w:rsid w:val="006B735D"/>
    <w:rsid w:val="006B7DDA"/>
    <w:rsid w:val="006C003D"/>
    <w:rsid w:val="006C1ACC"/>
    <w:rsid w:val="006C2AE0"/>
    <w:rsid w:val="006C312B"/>
    <w:rsid w:val="006C3343"/>
    <w:rsid w:val="006C36CF"/>
    <w:rsid w:val="006C474D"/>
    <w:rsid w:val="006C47E8"/>
    <w:rsid w:val="006C4808"/>
    <w:rsid w:val="006C4C38"/>
    <w:rsid w:val="006C5C86"/>
    <w:rsid w:val="006C64A4"/>
    <w:rsid w:val="006C6D4D"/>
    <w:rsid w:val="006C71E8"/>
    <w:rsid w:val="006D07E6"/>
    <w:rsid w:val="006D09E1"/>
    <w:rsid w:val="006D10D7"/>
    <w:rsid w:val="006D10ED"/>
    <w:rsid w:val="006D1262"/>
    <w:rsid w:val="006D1748"/>
    <w:rsid w:val="006D1BC2"/>
    <w:rsid w:val="006D1C37"/>
    <w:rsid w:val="006D214C"/>
    <w:rsid w:val="006D2851"/>
    <w:rsid w:val="006D3A3E"/>
    <w:rsid w:val="006D3F5F"/>
    <w:rsid w:val="006D4503"/>
    <w:rsid w:val="006D4525"/>
    <w:rsid w:val="006D45DE"/>
    <w:rsid w:val="006D509F"/>
    <w:rsid w:val="006D5644"/>
    <w:rsid w:val="006D5651"/>
    <w:rsid w:val="006D5CDC"/>
    <w:rsid w:val="006D5F83"/>
    <w:rsid w:val="006D67DB"/>
    <w:rsid w:val="006D6A00"/>
    <w:rsid w:val="006D6F77"/>
    <w:rsid w:val="006D7005"/>
    <w:rsid w:val="006D70DC"/>
    <w:rsid w:val="006D7722"/>
    <w:rsid w:val="006D7B38"/>
    <w:rsid w:val="006D7BA7"/>
    <w:rsid w:val="006D7ED7"/>
    <w:rsid w:val="006E00CF"/>
    <w:rsid w:val="006E02DD"/>
    <w:rsid w:val="006E02E0"/>
    <w:rsid w:val="006E02E8"/>
    <w:rsid w:val="006E0323"/>
    <w:rsid w:val="006E06AE"/>
    <w:rsid w:val="006E0FE9"/>
    <w:rsid w:val="006E1270"/>
    <w:rsid w:val="006E1950"/>
    <w:rsid w:val="006E1967"/>
    <w:rsid w:val="006E216E"/>
    <w:rsid w:val="006E2AE6"/>
    <w:rsid w:val="006E2B94"/>
    <w:rsid w:val="006E2E81"/>
    <w:rsid w:val="006E3137"/>
    <w:rsid w:val="006E3543"/>
    <w:rsid w:val="006E48CF"/>
    <w:rsid w:val="006E4BC6"/>
    <w:rsid w:val="006E5201"/>
    <w:rsid w:val="006E6438"/>
    <w:rsid w:val="006E644C"/>
    <w:rsid w:val="006E6A09"/>
    <w:rsid w:val="006E7583"/>
    <w:rsid w:val="006E763A"/>
    <w:rsid w:val="006E7F1B"/>
    <w:rsid w:val="006F0679"/>
    <w:rsid w:val="006F0971"/>
    <w:rsid w:val="006F0DD9"/>
    <w:rsid w:val="006F1BA5"/>
    <w:rsid w:val="006F2389"/>
    <w:rsid w:val="006F26B5"/>
    <w:rsid w:val="006F3253"/>
    <w:rsid w:val="006F4395"/>
    <w:rsid w:val="006F4B18"/>
    <w:rsid w:val="006F56F2"/>
    <w:rsid w:val="006F5820"/>
    <w:rsid w:val="006F610F"/>
    <w:rsid w:val="006F62F2"/>
    <w:rsid w:val="006F65A2"/>
    <w:rsid w:val="006F677A"/>
    <w:rsid w:val="006F6A41"/>
    <w:rsid w:val="006F727C"/>
    <w:rsid w:val="006F76CE"/>
    <w:rsid w:val="006F7813"/>
    <w:rsid w:val="006F7A12"/>
    <w:rsid w:val="006F7FB6"/>
    <w:rsid w:val="0070030B"/>
    <w:rsid w:val="0070055B"/>
    <w:rsid w:val="00701012"/>
    <w:rsid w:val="007014AB"/>
    <w:rsid w:val="00701649"/>
    <w:rsid w:val="007017C6"/>
    <w:rsid w:val="00701A23"/>
    <w:rsid w:val="00701DD6"/>
    <w:rsid w:val="00702218"/>
    <w:rsid w:val="00702733"/>
    <w:rsid w:val="00703028"/>
    <w:rsid w:val="00703608"/>
    <w:rsid w:val="00703B56"/>
    <w:rsid w:val="00703D44"/>
    <w:rsid w:val="00704043"/>
    <w:rsid w:val="0070417A"/>
    <w:rsid w:val="00704805"/>
    <w:rsid w:val="00705F82"/>
    <w:rsid w:val="00706B69"/>
    <w:rsid w:val="00706F25"/>
    <w:rsid w:val="00710BBE"/>
    <w:rsid w:val="00710FF4"/>
    <w:rsid w:val="00711002"/>
    <w:rsid w:val="00711BD9"/>
    <w:rsid w:val="00711D2F"/>
    <w:rsid w:val="00711E55"/>
    <w:rsid w:val="007120D0"/>
    <w:rsid w:val="00712E8D"/>
    <w:rsid w:val="00712EA1"/>
    <w:rsid w:val="00713606"/>
    <w:rsid w:val="00714CED"/>
    <w:rsid w:val="007150E1"/>
    <w:rsid w:val="007153CE"/>
    <w:rsid w:val="00715C32"/>
    <w:rsid w:val="007165FF"/>
    <w:rsid w:val="00716789"/>
    <w:rsid w:val="00716AC4"/>
    <w:rsid w:val="00717666"/>
    <w:rsid w:val="00717C00"/>
    <w:rsid w:val="00720004"/>
    <w:rsid w:val="00720468"/>
    <w:rsid w:val="00720816"/>
    <w:rsid w:val="00720918"/>
    <w:rsid w:val="00720975"/>
    <w:rsid w:val="007216DD"/>
    <w:rsid w:val="00721971"/>
    <w:rsid w:val="007225F6"/>
    <w:rsid w:val="00722906"/>
    <w:rsid w:val="00723E14"/>
    <w:rsid w:val="00723E4D"/>
    <w:rsid w:val="00723FAD"/>
    <w:rsid w:val="0072421B"/>
    <w:rsid w:val="007246EB"/>
    <w:rsid w:val="00725048"/>
    <w:rsid w:val="007250D0"/>
    <w:rsid w:val="0072542A"/>
    <w:rsid w:val="00725582"/>
    <w:rsid w:val="0072590A"/>
    <w:rsid w:val="00725A5F"/>
    <w:rsid w:val="00726232"/>
    <w:rsid w:val="00726FD5"/>
    <w:rsid w:val="0072712E"/>
    <w:rsid w:val="00727856"/>
    <w:rsid w:val="0072785D"/>
    <w:rsid w:val="00727924"/>
    <w:rsid w:val="00730F92"/>
    <w:rsid w:val="007325E5"/>
    <w:rsid w:val="00732D65"/>
    <w:rsid w:val="00732E05"/>
    <w:rsid w:val="00732F95"/>
    <w:rsid w:val="00733020"/>
    <w:rsid w:val="00733573"/>
    <w:rsid w:val="00733850"/>
    <w:rsid w:val="007347EB"/>
    <w:rsid w:val="00734944"/>
    <w:rsid w:val="00734995"/>
    <w:rsid w:val="00734B77"/>
    <w:rsid w:val="00735304"/>
    <w:rsid w:val="00735FDB"/>
    <w:rsid w:val="00736ECE"/>
    <w:rsid w:val="00737109"/>
    <w:rsid w:val="00737A26"/>
    <w:rsid w:val="00737AF3"/>
    <w:rsid w:val="00740073"/>
    <w:rsid w:val="0074045C"/>
    <w:rsid w:val="00740A88"/>
    <w:rsid w:val="007410B7"/>
    <w:rsid w:val="007416B1"/>
    <w:rsid w:val="00741AF9"/>
    <w:rsid w:val="00741C58"/>
    <w:rsid w:val="00742407"/>
    <w:rsid w:val="0074248E"/>
    <w:rsid w:val="00742C3D"/>
    <w:rsid w:val="00743769"/>
    <w:rsid w:val="00743AAE"/>
    <w:rsid w:val="00743C37"/>
    <w:rsid w:val="007442D0"/>
    <w:rsid w:val="007444C1"/>
    <w:rsid w:val="00744923"/>
    <w:rsid w:val="00744D24"/>
    <w:rsid w:val="00744E0B"/>
    <w:rsid w:val="00744E83"/>
    <w:rsid w:val="007458FC"/>
    <w:rsid w:val="00745E9E"/>
    <w:rsid w:val="00745FC6"/>
    <w:rsid w:val="007461CE"/>
    <w:rsid w:val="007466CC"/>
    <w:rsid w:val="00746B38"/>
    <w:rsid w:val="00746C3B"/>
    <w:rsid w:val="00746D68"/>
    <w:rsid w:val="00746EC9"/>
    <w:rsid w:val="00746EDB"/>
    <w:rsid w:val="0074765C"/>
    <w:rsid w:val="0074766B"/>
    <w:rsid w:val="00747715"/>
    <w:rsid w:val="00750C01"/>
    <w:rsid w:val="007512BA"/>
    <w:rsid w:val="007518D6"/>
    <w:rsid w:val="007519B4"/>
    <w:rsid w:val="00751F39"/>
    <w:rsid w:val="007520F6"/>
    <w:rsid w:val="0075228C"/>
    <w:rsid w:val="00752575"/>
    <w:rsid w:val="00753299"/>
    <w:rsid w:val="007535D7"/>
    <w:rsid w:val="00753807"/>
    <w:rsid w:val="007539EA"/>
    <w:rsid w:val="00754434"/>
    <w:rsid w:val="00754B60"/>
    <w:rsid w:val="00755521"/>
    <w:rsid w:val="00755D7C"/>
    <w:rsid w:val="00756D63"/>
    <w:rsid w:val="00756E11"/>
    <w:rsid w:val="007577E9"/>
    <w:rsid w:val="00757A6A"/>
    <w:rsid w:val="00757AD9"/>
    <w:rsid w:val="00760A78"/>
    <w:rsid w:val="00761124"/>
    <w:rsid w:val="0076224E"/>
    <w:rsid w:val="00762FD8"/>
    <w:rsid w:val="00763B51"/>
    <w:rsid w:val="00763E71"/>
    <w:rsid w:val="00763FA1"/>
    <w:rsid w:val="00765193"/>
    <w:rsid w:val="007652BC"/>
    <w:rsid w:val="00766E62"/>
    <w:rsid w:val="007676FE"/>
    <w:rsid w:val="00770564"/>
    <w:rsid w:val="00770569"/>
    <w:rsid w:val="00770618"/>
    <w:rsid w:val="007708D2"/>
    <w:rsid w:val="007708EB"/>
    <w:rsid w:val="00770C76"/>
    <w:rsid w:val="00770F4A"/>
    <w:rsid w:val="007710F7"/>
    <w:rsid w:val="00771894"/>
    <w:rsid w:val="007725B4"/>
    <w:rsid w:val="00772A8C"/>
    <w:rsid w:val="00772D87"/>
    <w:rsid w:val="0077327E"/>
    <w:rsid w:val="00773F0E"/>
    <w:rsid w:val="0077429A"/>
    <w:rsid w:val="00775368"/>
    <w:rsid w:val="00775A9E"/>
    <w:rsid w:val="00775CBA"/>
    <w:rsid w:val="00776BAC"/>
    <w:rsid w:val="0077767A"/>
    <w:rsid w:val="00777783"/>
    <w:rsid w:val="00777905"/>
    <w:rsid w:val="00777B40"/>
    <w:rsid w:val="00777FFD"/>
    <w:rsid w:val="007802C5"/>
    <w:rsid w:val="0078101D"/>
    <w:rsid w:val="007815ED"/>
    <w:rsid w:val="00781676"/>
    <w:rsid w:val="007823E8"/>
    <w:rsid w:val="007826FF"/>
    <w:rsid w:val="00782738"/>
    <w:rsid w:val="00782C91"/>
    <w:rsid w:val="0078313F"/>
    <w:rsid w:val="00783B5A"/>
    <w:rsid w:val="00783C3E"/>
    <w:rsid w:val="00783C83"/>
    <w:rsid w:val="007843FE"/>
    <w:rsid w:val="00784A6D"/>
    <w:rsid w:val="00784A96"/>
    <w:rsid w:val="00784BC9"/>
    <w:rsid w:val="00784F5C"/>
    <w:rsid w:val="007850B5"/>
    <w:rsid w:val="00785BAF"/>
    <w:rsid w:val="00785C5D"/>
    <w:rsid w:val="00785D29"/>
    <w:rsid w:val="00786F7C"/>
    <w:rsid w:val="00786FCF"/>
    <w:rsid w:val="007874A7"/>
    <w:rsid w:val="0078778B"/>
    <w:rsid w:val="00787FE4"/>
    <w:rsid w:val="0079038A"/>
    <w:rsid w:val="00790924"/>
    <w:rsid w:val="00791794"/>
    <w:rsid w:val="00791E89"/>
    <w:rsid w:val="00792129"/>
    <w:rsid w:val="007924E5"/>
    <w:rsid w:val="00792697"/>
    <w:rsid w:val="007929E8"/>
    <w:rsid w:val="00792BB6"/>
    <w:rsid w:val="00792C68"/>
    <w:rsid w:val="00792F5C"/>
    <w:rsid w:val="00793480"/>
    <w:rsid w:val="00793F70"/>
    <w:rsid w:val="00795375"/>
    <w:rsid w:val="007955CC"/>
    <w:rsid w:val="0079585F"/>
    <w:rsid w:val="00795AAC"/>
    <w:rsid w:val="00796295"/>
    <w:rsid w:val="00796757"/>
    <w:rsid w:val="007971F5"/>
    <w:rsid w:val="00797778"/>
    <w:rsid w:val="007979DE"/>
    <w:rsid w:val="00797FEC"/>
    <w:rsid w:val="007A00F8"/>
    <w:rsid w:val="007A06AF"/>
    <w:rsid w:val="007A1363"/>
    <w:rsid w:val="007A2785"/>
    <w:rsid w:val="007A390A"/>
    <w:rsid w:val="007A4116"/>
    <w:rsid w:val="007A441D"/>
    <w:rsid w:val="007A4F40"/>
    <w:rsid w:val="007A5340"/>
    <w:rsid w:val="007A5955"/>
    <w:rsid w:val="007A59B7"/>
    <w:rsid w:val="007A6911"/>
    <w:rsid w:val="007A6C88"/>
    <w:rsid w:val="007A72F9"/>
    <w:rsid w:val="007A736B"/>
    <w:rsid w:val="007B017C"/>
    <w:rsid w:val="007B0741"/>
    <w:rsid w:val="007B0B6B"/>
    <w:rsid w:val="007B29BA"/>
    <w:rsid w:val="007B3C1F"/>
    <w:rsid w:val="007B405F"/>
    <w:rsid w:val="007B4B2C"/>
    <w:rsid w:val="007B51B6"/>
    <w:rsid w:val="007B5A1C"/>
    <w:rsid w:val="007B5FDA"/>
    <w:rsid w:val="007B6B86"/>
    <w:rsid w:val="007B6C9B"/>
    <w:rsid w:val="007B71CE"/>
    <w:rsid w:val="007B77BC"/>
    <w:rsid w:val="007B7A0E"/>
    <w:rsid w:val="007B7A96"/>
    <w:rsid w:val="007C0451"/>
    <w:rsid w:val="007C0CEC"/>
    <w:rsid w:val="007C17B4"/>
    <w:rsid w:val="007C24B9"/>
    <w:rsid w:val="007C3676"/>
    <w:rsid w:val="007C370B"/>
    <w:rsid w:val="007C38B5"/>
    <w:rsid w:val="007C38F0"/>
    <w:rsid w:val="007C3E37"/>
    <w:rsid w:val="007C3E99"/>
    <w:rsid w:val="007C41DA"/>
    <w:rsid w:val="007C4319"/>
    <w:rsid w:val="007C4CA9"/>
    <w:rsid w:val="007C50BA"/>
    <w:rsid w:val="007C5CF3"/>
    <w:rsid w:val="007C61A9"/>
    <w:rsid w:val="007C6FF3"/>
    <w:rsid w:val="007C70AB"/>
    <w:rsid w:val="007C71DC"/>
    <w:rsid w:val="007C7793"/>
    <w:rsid w:val="007C7A28"/>
    <w:rsid w:val="007D0BF5"/>
    <w:rsid w:val="007D0D7F"/>
    <w:rsid w:val="007D1897"/>
    <w:rsid w:val="007D198C"/>
    <w:rsid w:val="007D1BE8"/>
    <w:rsid w:val="007D2188"/>
    <w:rsid w:val="007D368A"/>
    <w:rsid w:val="007D37F9"/>
    <w:rsid w:val="007D5C27"/>
    <w:rsid w:val="007D678B"/>
    <w:rsid w:val="007D7104"/>
    <w:rsid w:val="007D7876"/>
    <w:rsid w:val="007D78CD"/>
    <w:rsid w:val="007D7BE6"/>
    <w:rsid w:val="007E041E"/>
    <w:rsid w:val="007E119C"/>
    <w:rsid w:val="007E1CEE"/>
    <w:rsid w:val="007E2A8C"/>
    <w:rsid w:val="007E2F58"/>
    <w:rsid w:val="007E329F"/>
    <w:rsid w:val="007E32FD"/>
    <w:rsid w:val="007E38D3"/>
    <w:rsid w:val="007E463B"/>
    <w:rsid w:val="007E4CD7"/>
    <w:rsid w:val="007E4DB8"/>
    <w:rsid w:val="007E4E11"/>
    <w:rsid w:val="007E5434"/>
    <w:rsid w:val="007E5F69"/>
    <w:rsid w:val="007E6460"/>
    <w:rsid w:val="007E6998"/>
    <w:rsid w:val="007E6A9D"/>
    <w:rsid w:val="007E6EAA"/>
    <w:rsid w:val="007F008C"/>
    <w:rsid w:val="007F03C2"/>
    <w:rsid w:val="007F09D6"/>
    <w:rsid w:val="007F0BFD"/>
    <w:rsid w:val="007F0D24"/>
    <w:rsid w:val="007F0F18"/>
    <w:rsid w:val="007F1A6C"/>
    <w:rsid w:val="007F1AD2"/>
    <w:rsid w:val="007F2708"/>
    <w:rsid w:val="007F27D3"/>
    <w:rsid w:val="007F3386"/>
    <w:rsid w:val="007F3428"/>
    <w:rsid w:val="007F4507"/>
    <w:rsid w:val="007F48DE"/>
    <w:rsid w:val="007F49C6"/>
    <w:rsid w:val="007F4FCF"/>
    <w:rsid w:val="007F5579"/>
    <w:rsid w:val="007F5D03"/>
    <w:rsid w:val="007F6A26"/>
    <w:rsid w:val="007F6C31"/>
    <w:rsid w:val="007F6E89"/>
    <w:rsid w:val="008001E9"/>
    <w:rsid w:val="008006F2"/>
    <w:rsid w:val="00802373"/>
    <w:rsid w:val="0080261E"/>
    <w:rsid w:val="00802820"/>
    <w:rsid w:val="00802CAA"/>
    <w:rsid w:val="00802D58"/>
    <w:rsid w:val="00803E80"/>
    <w:rsid w:val="00803FC9"/>
    <w:rsid w:val="008046FD"/>
    <w:rsid w:val="008048D7"/>
    <w:rsid w:val="00804E84"/>
    <w:rsid w:val="008051F4"/>
    <w:rsid w:val="0080582F"/>
    <w:rsid w:val="008062A2"/>
    <w:rsid w:val="008106A5"/>
    <w:rsid w:val="008112D1"/>
    <w:rsid w:val="00811331"/>
    <w:rsid w:val="00811BD3"/>
    <w:rsid w:val="0081292D"/>
    <w:rsid w:val="00812D70"/>
    <w:rsid w:val="008136DA"/>
    <w:rsid w:val="00813C23"/>
    <w:rsid w:val="00813E0B"/>
    <w:rsid w:val="00814C9D"/>
    <w:rsid w:val="0081566B"/>
    <w:rsid w:val="00815780"/>
    <w:rsid w:val="008159D7"/>
    <w:rsid w:val="00815CF2"/>
    <w:rsid w:val="0081600D"/>
    <w:rsid w:val="008169C3"/>
    <w:rsid w:val="00816A23"/>
    <w:rsid w:val="008170D3"/>
    <w:rsid w:val="00817196"/>
    <w:rsid w:val="008176EF"/>
    <w:rsid w:val="00817D27"/>
    <w:rsid w:val="008210F4"/>
    <w:rsid w:val="00821622"/>
    <w:rsid w:val="00821D3F"/>
    <w:rsid w:val="00821FC9"/>
    <w:rsid w:val="00822E27"/>
    <w:rsid w:val="008230FE"/>
    <w:rsid w:val="00823346"/>
    <w:rsid w:val="008235A2"/>
    <w:rsid w:val="0082375E"/>
    <w:rsid w:val="00823914"/>
    <w:rsid w:val="00823CF9"/>
    <w:rsid w:val="00823DD8"/>
    <w:rsid w:val="0082443B"/>
    <w:rsid w:val="00824879"/>
    <w:rsid w:val="00824B9D"/>
    <w:rsid w:val="008251D6"/>
    <w:rsid w:val="0082565E"/>
    <w:rsid w:val="008257FF"/>
    <w:rsid w:val="008259F3"/>
    <w:rsid w:val="00825FF0"/>
    <w:rsid w:val="008263D1"/>
    <w:rsid w:val="008266C1"/>
    <w:rsid w:val="00826BA9"/>
    <w:rsid w:val="00826BBA"/>
    <w:rsid w:val="00826BBD"/>
    <w:rsid w:val="008275E0"/>
    <w:rsid w:val="0083033A"/>
    <w:rsid w:val="0083073C"/>
    <w:rsid w:val="0083114D"/>
    <w:rsid w:val="008317A7"/>
    <w:rsid w:val="00831943"/>
    <w:rsid w:val="00831B1A"/>
    <w:rsid w:val="00831B51"/>
    <w:rsid w:val="0083213A"/>
    <w:rsid w:val="008322A5"/>
    <w:rsid w:val="00832B8F"/>
    <w:rsid w:val="0083327E"/>
    <w:rsid w:val="00833D48"/>
    <w:rsid w:val="008341E9"/>
    <w:rsid w:val="00834513"/>
    <w:rsid w:val="00834A95"/>
    <w:rsid w:val="00834A9F"/>
    <w:rsid w:val="0083552C"/>
    <w:rsid w:val="00835907"/>
    <w:rsid w:val="00835B60"/>
    <w:rsid w:val="00835DD8"/>
    <w:rsid w:val="00836FE1"/>
    <w:rsid w:val="00837AF4"/>
    <w:rsid w:val="00840325"/>
    <w:rsid w:val="00840B5F"/>
    <w:rsid w:val="0084259C"/>
    <w:rsid w:val="00842757"/>
    <w:rsid w:val="0084363D"/>
    <w:rsid w:val="00843980"/>
    <w:rsid w:val="00843EF8"/>
    <w:rsid w:val="00844154"/>
    <w:rsid w:val="00844266"/>
    <w:rsid w:val="00844443"/>
    <w:rsid w:val="00844532"/>
    <w:rsid w:val="00845DF8"/>
    <w:rsid w:val="0084628A"/>
    <w:rsid w:val="008464BB"/>
    <w:rsid w:val="00846E3E"/>
    <w:rsid w:val="008470FD"/>
    <w:rsid w:val="0084773C"/>
    <w:rsid w:val="00847F76"/>
    <w:rsid w:val="0085176B"/>
    <w:rsid w:val="00852768"/>
    <w:rsid w:val="00852929"/>
    <w:rsid w:val="00852F52"/>
    <w:rsid w:val="00853123"/>
    <w:rsid w:val="00854A72"/>
    <w:rsid w:val="00854ABE"/>
    <w:rsid w:val="00854FF7"/>
    <w:rsid w:val="00855B13"/>
    <w:rsid w:val="0085667D"/>
    <w:rsid w:val="00856A86"/>
    <w:rsid w:val="008571E3"/>
    <w:rsid w:val="0085754B"/>
    <w:rsid w:val="00857C8C"/>
    <w:rsid w:val="00860701"/>
    <w:rsid w:val="00861243"/>
    <w:rsid w:val="008616FE"/>
    <w:rsid w:val="00861F3A"/>
    <w:rsid w:val="0086207C"/>
    <w:rsid w:val="00862305"/>
    <w:rsid w:val="00862415"/>
    <w:rsid w:val="00862729"/>
    <w:rsid w:val="00862F9C"/>
    <w:rsid w:val="00862FBF"/>
    <w:rsid w:val="008639E5"/>
    <w:rsid w:val="00863F0B"/>
    <w:rsid w:val="00864116"/>
    <w:rsid w:val="008642B1"/>
    <w:rsid w:val="008643CB"/>
    <w:rsid w:val="008644E4"/>
    <w:rsid w:val="00864553"/>
    <w:rsid w:val="00864880"/>
    <w:rsid w:val="008655CA"/>
    <w:rsid w:val="00866530"/>
    <w:rsid w:val="00866644"/>
    <w:rsid w:val="008701A3"/>
    <w:rsid w:val="008706C0"/>
    <w:rsid w:val="0087088B"/>
    <w:rsid w:val="00870E99"/>
    <w:rsid w:val="00870EBB"/>
    <w:rsid w:val="00871317"/>
    <w:rsid w:val="00871988"/>
    <w:rsid w:val="00871F47"/>
    <w:rsid w:val="00872088"/>
    <w:rsid w:val="008723E5"/>
    <w:rsid w:val="008736B0"/>
    <w:rsid w:val="00873CFC"/>
    <w:rsid w:val="00874BD4"/>
    <w:rsid w:val="0087563E"/>
    <w:rsid w:val="008765E3"/>
    <w:rsid w:val="008768F4"/>
    <w:rsid w:val="00876931"/>
    <w:rsid w:val="00877D87"/>
    <w:rsid w:val="00880829"/>
    <w:rsid w:val="00880B67"/>
    <w:rsid w:val="008811BD"/>
    <w:rsid w:val="0088190B"/>
    <w:rsid w:val="008826C3"/>
    <w:rsid w:val="0088271B"/>
    <w:rsid w:val="0088479A"/>
    <w:rsid w:val="00884824"/>
    <w:rsid w:val="008851A9"/>
    <w:rsid w:val="0088532A"/>
    <w:rsid w:val="008855DE"/>
    <w:rsid w:val="008856BD"/>
    <w:rsid w:val="00886215"/>
    <w:rsid w:val="00886799"/>
    <w:rsid w:val="008867AB"/>
    <w:rsid w:val="00886839"/>
    <w:rsid w:val="00886A55"/>
    <w:rsid w:val="0088779B"/>
    <w:rsid w:val="008902DE"/>
    <w:rsid w:val="00890641"/>
    <w:rsid w:val="00890ECA"/>
    <w:rsid w:val="00891793"/>
    <w:rsid w:val="008919FF"/>
    <w:rsid w:val="00891A2A"/>
    <w:rsid w:val="00891EE0"/>
    <w:rsid w:val="0089259E"/>
    <w:rsid w:val="00892A3E"/>
    <w:rsid w:val="00892AD8"/>
    <w:rsid w:val="00892CC3"/>
    <w:rsid w:val="008932E1"/>
    <w:rsid w:val="00893309"/>
    <w:rsid w:val="0089383B"/>
    <w:rsid w:val="00893B2B"/>
    <w:rsid w:val="00893BA7"/>
    <w:rsid w:val="0089404A"/>
    <w:rsid w:val="00894DF4"/>
    <w:rsid w:val="00895C43"/>
    <w:rsid w:val="00895C8A"/>
    <w:rsid w:val="00895DDD"/>
    <w:rsid w:val="008968F6"/>
    <w:rsid w:val="00896E8F"/>
    <w:rsid w:val="00896F83"/>
    <w:rsid w:val="0089762E"/>
    <w:rsid w:val="00897C43"/>
    <w:rsid w:val="008A029D"/>
    <w:rsid w:val="008A0D0F"/>
    <w:rsid w:val="008A0E02"/>
    <w:rsid w:val="008A0F0A"/>
    <w:rsid w:val="008A0F9E"/>
    <w:rsid w:val="008A1455"/>
    <w:rsid w:val="008A1AD0"/>
    <w:rsid w:val="008A27A9"/>
    <w:rsid w:val="008A2858"/>
    <w:rsid w:val="008A2CCB"/>
    <w:rsid w:val="008A2EFD"/>
    <w:rsid w:val="008A36C9"/>
    <w:rsid w:val="008A3CC8"/>
    <w:rsid w:val="008A4BC2"/>
    <w:rsid w:val="008A510C"/>
    <w:rsid w:val="008A52EE"/>
    <w:rsid w:val="008A59E6"/>
    <w:rsid w:val="008A59E9"/>
    <w:rsid w:val="008A60D9"/>
    <w:rsid w:val="008A6115"/>
    <w:rsid w:val="008A6516"/>
    <w:rsid w:val="008A69B3"/>
    <w:rsid w:val="008A6B56"/>
    <w:rsid w:val="008A796E"/>
    <w:rsid w:val="008A79F0"/>
    <w:rsid w:val="008B0774"/>
    <w:rsid w:val="008B0890"/>
    <w:rsid w:val="008B224B"/>
    <w:rsid w:val="008B2B55"/>
    <w:rsid w:val="008B2CDB"/>
    <w:rsid w:val="008B38B9"/>
    <w:rsid w:val="008B3C4F"/>
    <w:rsid w:val="008B491C"/>
    <w:rsid w:val="008B4C98"/>
    <w:rsid w:val="008B4D32"/>
    <w:rsid w:val="008B50D1"/>
    <w:rsid w:val="008B5503"/>
    <w:rsid w:val="008B6F55"/>
    <w:rsid w:val="008B7585"/>
    <w:rsid w:val="008B7ACF"/>
    <w:rsid w:val="008B7EFE"/>
    <w:rsid w:val="008C1277"/>
    <w:rsid w:val="008C1939"/>
    <w:rsid w:val="008C225D"/>
    <w:rsid w:val="008C2920"/>
    <w:rsid w:val="008C31A5"/>
    <w:rsid w:val="008C31DA"/>
    <w:rsid w:val="008C42B1"/>
    <w:rsid w:val="008C5312"/>
    <w:rsid w:val="008C58D4"/>
    <w:rsid w:val="008C59D4"/>
    <w:rsid w:val="008C5F6F"/>
    <w:rsid w:val="008C663B"/>
    <w:rsid w:val="008C69D8"/>
    <w:rsid w:val="008C6B9E"/>
    <w:rsid w:val="008C6D2A"/>
    <w:rsid w:val="008C7A49"/>
    <w:rsid w:val="008D0861"/>
    <w:rsid w:val="008D0B12"/>
    <w:rsid w:val="008D0BEB"/>
    <w:rsid w:val="008D0CC9"/>
    <w:rsid w:val="008D0D4E"/>
    <w:rsid w:val="008D0EF5"/>
    <w:rsid w:val="008D108B"/>
    <w:rsid w:val="008D1E1E"/>
    <w:rsid w:val="008D2BA7"/>
    <w:rsid w:val="008D356B"/>
    <w:rsid w:val="008D3DF0"/>
    <w:rsid w:val="008D3F9D"/>
    <w:rsid w:val="008D493D"/>
    <w:rsid w:val="008D516C"/>
    <w:rsid w:val="008D568F"/>
    <w:rsid w:val="008D5F2F"/>
    <w:rsid w:val="008D67E9"/>
    <w:rsid w:val="008D67F1"/>
    <w:rsid w:val="008D6A83"/>
    <w:rsid w:val="008D7E1E"/>
    <w:rsid w:val="008E02DC"/>
    <w:rsid w:val="008E0438"/>
    <w:rsid w:val="008E0BE6"/>
    <w:rsid w:val="008E1308"/>
    <w:rsid w:val="008E1F6F"/>
    <w:rsid w:val="008E234A"/>
    <w:rsid w:val="008E246C"/>
    <w:rsid w:val="008E2F0A"/>
    <w:rsid w:val="008E3A01"/>
    <w:rsid w:val="008E3DDF"/>
    <w:rsid w:val="008E3E5C"/>
    <w:rsid w:val="008E41B4"/>
    <w:rsid w:val="008E48FB"/>
    <w:rsid w:val="008E49CE"/>
    <w:rsid w:val="008E4F1D"/>
    <w:rsid w:val="008E5A2B"/>
    <w:rsid w:val="008E63D1"/>
    <w:rsid w:val="008E63DD"/>
    <w:rsid w:val="008E73D1"/>
    <w:rsid w:val="008E778A"/>
    <w:rsid w:val="008E7F8D"/>
    <w:rsid w:val="008F0286"/>
    <w:rsid w:val="008F08A4"/>
    <w:rsid w:val="008F09E6"/>
    <w:rsid w:val="008F0FC9"/>
    <w:rsid w:val="008F101A"/>
    <w:rsid w:val="008F1295"/>
    <w:rsid w:val="008F131E"/>
    <w:rsid w:val="008F16FA"/>
    <w:rsid w:val="008F231F"/>
    <w:rsid w:val="008F2522"/>
    <w:rsid w:val="008F29C1"/>
    <w:rsid w:val="008F35A9"/>
    <w:rsid w:val="008F363B"/>
    <w:rsid w:val="008F3893"/>
    <w:rsid w:val="008F3AC5"/>
    <w:rsid w:val="008F3F3F"/>
    <w:rsid w:val="008F40CF"/>
    <w:rsid w:val="008F484B"/>
    <w:rsid w:val="008F630C"/>
    <w:rsid w:val="008F6C06"/>
    <w:rsid w:val="008F6E0B"/>
    <w:rsid w:val="008F7717"/>
    <w:rsid w:val="008F7848"/>
    <w:rsid w:val="008F7933"/>
    <w:rsid w:val="008F7D23"/>
    <w:rsid w:val="009001A3"/>
    <w:rsid w:val="009003E2"/>
    <w:rsid w:val="009012B3"/>
    <w:rsid w:val="00901537"/>
    <w:rsid w:val="00902CFC"/>
    <w:rsid w:val="00902ED6"/>
    <w:rsid w:val="0090330D"/>
    <w:rsid w:val="00905066"/>
    <w:rsid w:val="009054A9"/>
    <w:rsid w:val="009054DE"/>
    <w:rsid w:val="00905595"/>
    <w:rsid w:val="00905973"/>
    <w:rsid w:val="0090614F"/>
    <w:rsid w:val="00906C8C"/>
    <w:rsid w:val="009109A6"/>
    <w:rsid w:val="00910B37"/>
    <w:rsid w:val="0091341E"/>
    <w:rsid w:val="0091397D"/>
    <w:rsid w:val="00913B8C"/>
    <w:rsid w:val="00913D86"/>
    <w:rsid w:val="00913E0B"/>
    <w:rsid w:val="00913E8C"/>
    <w:rsid w:val="0091519C"/>
    <w:rsid w:val="0091536C"/>
    <w:rsid w:val="00915B9F"/>
    <w:rsid w:val="00915D0B"/>
    <w:rsid w:val="00916A79"/>
    <w:rsid w:val="0091735E"/>
    <w:rsid w:val="00917549"/>
    <w:rsid w:val="00917563"/>
    <w:rsid w:val="0091786E"/>
    <w:rsid w:val="00920CF3"/>
    <w:rsid w:val="009221B6"/>
    <w:rsid w:val="00922545"/>
    <w:rsid w:val="00922792"/>
    <w:rsid w:val="00922F40"/>
    <w:rsid w:val="00923419"/>
    <w:rsid w:val="00923493"/>
    <w:rsid w:val="009234D1"/>
    <w:rsid w:val="009234F9"/>
    <w:rsid w:val="009236C1"/>
    <w:rsid w:val="00923859"/>
    <w:rsid w:val="00923DA4"/>
    <w:rsid w:val="00924229"/>
    <w:rsid w:val="00924543"/>
    <w:rsid w:val="0092474A"/>
    <w:rsid w:val="00924C83"/>
    <w:rsid w:val="00925E82"/>
    <w:rsid w:val="00926004"/>
    <w:rsid w:val="009265A4"/>
    <w:rsid w:val="00926664"/>
    <w:rsid w:val="00926B12"/>
    <w:rsid w:val="009276FF"/>
    <w:rsid w:val="00927705"/>
    <w:rsid w:val="00927856"/>
    <w:rsid w:val="00930F48"/>
    <w:rsid w:val="0093107D"/>
    <w:rsid w:val="00931A47"/>
    <w:rsid w:val="00931E08"/>
    <w:rsid w:val="0093209D"/>
    <w:rsid w:val="009320AF"/>
    <w:rsid w:val="00932D3E"/>
    <w:rsid w:val="00932E01"/>
    <w:rsid w:val="009331FB"/>
    <w:rsid w:val="00933FEE"/>
    <w:rsid w:val="00935509"/>
    <w:rsid w:val="009358AC"/>
    <w:rsid w:val="00936357"/>
    <w:rsid w:val="009366CD"/>
    <w:rsid w:val="0093685D"/>
    <w:rsid w:val="00936A7E"/>
    <w:rsid w:val="00936C69"/>
    <w:rsid w:val="00937E13"/>
    <w:rsid w:val="00940665"/>
    <w:rsid w:val="009407B9"/>
    <w:rsid w:val="009407C0"/>
    <w:rsid w:val="00940C58"/>
    <w:rsid w:val="00941089"/>
    <w:rsid w:val="00941166"/>
    <w:rsid w:val="0094270D"/>
    <w:rsid w:val="00942C85"/>
    <w:rsid w:val="0094358E"/>
    <w:rsid w:val="00943920"/>
    <w:rsid w:val="00943ABD"/>
    <w:rsid w:val="00943C93"/>
    <w:rsid w:val="00943F10"/>
    <w:rsid w:val="009444F4"/>
    <w:rsid w:val="0094507D"/>
    <w:rsid w:val="009450A9"/>
    <w:rsid w:val="009450C0"/>
    <w:rsid w:val="009451B3"/>
    <w:rsid w:val="009455BD"/>
    <w:rsid w:val="00945F24"/>
    <w:rsid w:val="00946CA4"/>
    <w:rsid w:val="00946E20"/>
    <w:rsid w:val="0094758C"/>
    <w:rsid w:val="009478FE"/>
    <w:rsid w:val="009500BE"/>
    <w:rsid w:val="0095032B"/>
    <w:rsid w:val="00951015"/>
    <w:rsid w:val="00951800"/>
    <w:rsid w:val="009518D9"/>
    <w:rsid w:val="00951BF9"/>
    <w:rsid w:val="00951E52"/>
    <w:rsid w:val="00951FE1"/>
    <w:rsid w:val="00952629"/>
    <w:rsid w:val="0095280F"/>
    <w:rsid w:val="00952D8A"/>
    <w:rsid w:val="00952F4A"/>
    <w:rsid w:val="009531EF"/>
    <w:rsid w:val="00953717"/>
    <w:rsid w:val="00953998"/>
    <w:rsid w:val="00953DA4"/>
    <w:rsid w:val="00957270"/>
    <w:rsid w:val="00957D45"/>
    <w:rsid w:val="00960193"/>
    <w:rsid w:val="009604D5"/>
    <w:rsid w:val="009604DA"/>
    <w:rsid w:val="00960567"/>
    <w:rsid w:val="00960C44"/>
    <w:rsid w:val="00960D03"/>
    <w:rsid w:val="00960FB9"/>
    <w:rsid w:val="0096114C"/>
    <w:rsid w:val="00961320"/>
    <w:rsid w:val="00961647"/>
    <w:rsid w:val="009616DB"/>
    <w:rsid w:val="00961B1F"/>
    <w:rsid w:val="00961D62"/>
    <w:rsid w:val="0096201B"/>
    <w:rsid w:val="009621F6"/>
    <w:rsid w:val="009623F1"/>
    <w:rsid w:val="00962AEB"/>
    <w:rsid w:val="00962DFB"/>
    <w:rsid w:val="00962E7F"/>
    <w:rsid w:val="00962E83"/>
    <w:rsid w:val="0096326C"/>
    <w:rsid w:val="009635A7"/>
    <w:rsid w:val="00964417"/>
    <w:rsid w:val="00965811"/>
    <w:rsid w:val="00965C4C"/>
    <w:rsid w:val="0096674E"/>
    <w:rsid w:val="009669C7"/>
    <w:rsid w:val="00966ACA"/>
    <w:rsid w:val="00966BB3"/>
    <w:rsid w:val="009677BB"/>
    <w:rsid w:val="00967A56"/>
    <w:rsid w:val="0097132C"/>
    <w:rsid w:val="00971727"/>
    <w:rsid w:val="009717EF"/>
    <w:rsid w:val="00971995"/>
    <w:rsid w:val="00971D88"/>
    <w:rsid w:val="00971FF6"/>
    <w:rsid w:val="00972013"/>
    <w:rsid w:val="00972C89"/>
    <w:rsid w:val="00972EAD"/>
    <w:rsid w:val="00973F5B"/>
    <w:rsid w:val="009742BD"/>
    <w:rsid w:val="00974EC0"/>
    <w:rsid w:val="0097578C"/>
    <w:rsid w:val="0097598B"/>
    <w:rsid w:val="00975AC0"/>
    <w:rsid w:val="00975B07"/>
    <w:rsid w:val="00975E33"/>
    <w:rsid w:val="00976223"/>
    <w:rsid w:val="00976301"/>
    <w:rsid w:val="00976737"/>
    <w:rsid w:val="00976CBC"/>
    <w:rsid w:val="00977540"/>
    <w:rsid w:val="00977842"/>
    <w:rsid w:val="00977D4D"/>
    <w:rsid w:val="0098064C"/>
    <w:rsid w:val="00980A36"/>
    <w:rsid w:val="0098125E"/>
    <w:rsid w:val="00981819"/>
    <w:rsid w:val="009821AF"/>
    <w:rsid w:val="0098241D"/>
    <w:rsid w:val="00982A4B"/>
    <w:rsid w:val="009831E4"/>
    <w:rsid w:val="00983445"/>
    <w:rsid w:val="009839AF"/>
    <w:rsid w:val="0098499D"/>
    <w:rsid w:val="00984BE3"/>
    <w:rsid w:val="00984D10"/>
    <w:rsid w:val="0098552A"/>
    <w:rsid w:val="0098652C"/>
    <w:rsid w:val="009867D2"/>
    <w:rsid w:val="00986E9F"/>
    <w:rsid w:val="0098711F"/>
    <w:rsid w:val="00987771"/>
    <w:rsid w:val="00987AB9"/>
    <w:rsid w:val="00987FCC"/>
    <w:rsid w:val="009901CB"/>
    <w:rsid w:val="00990C48"/>
    <w:rsid w:val="00990CCB"/>
    <w:rsid w:val="009915D9"/>
    <w:rsid w:val="00991B38"/>
    <w:rsid w:val="009926B8"/>
    <w:rsid w:val="0099295F"/>
    <w:rsid w:val="00992992"/>
    <w:rsid w:val="00993AA1"/>
    <w:rsid w:val="00994470"/>
    <w:rsid w:val="009952A1"/>
    <w:rsid w:val="009952A4"/>
    <w:rsid w:val="00995323"/>
    <w:rsid w:val="0099535C"/>
    <w:rsid w:val="00997448"/>
    <w:rsid w:val="00997761"/>
    <w:rsid w:val="00997810"/>
    <w:rsid w:val="00997921"/>
    <w:rsid w:val="00997A93"/>
    <w:rsid w:val="009A01D7"/>
    <w:rsid w:val="009A14D0"/>
    <w:rsid w:val="009A2EAE"/>
    <w:rsid w:val="009A3AC2"/>
    <w:rsid w:val="009A3F5A"/>
    <w:rsid w:val="009A48D5"/>
    <w:rsid w:val="009A4AC7"/>
    <w:rsid w:val="009A4ADB"/>
    <w:rsid w:val="009A4C79"/>
    <w:rsid w:val="009A5618"/>
    <w:rsid w:val="009A5F8E"/>
    <w:rsid w:val="009A61F0"/>
    <w:rsid w:val="009A63E7"/>
    <w:rsid w:val="009A66CE"/>
    <w:rsid w:val="009A6A41"/>
    <w:rsid w:val="009A6CC7"/>
    <w:rsid w:val="009A6F49"/>
    <w:rsid w:val="009A77F2"/>
    <w:rsid w:val="009A77F3"/>
    <w:rsid w:val="009A7C81"/>
    <w:rsid w:val="009B0D80"/>
    <w:rsid w:val="009B11D6"/>
    <w:rsid w:val="009B1BA0"/>
    <w:rsid w:val="009B2597"/>
    <w:rsid w:val="009B26D3"/>
    <w:rsid w:val="009B2B57"/>
    <w:rsid w:val="009B3D44"/>
    <w:rsid w:val="009B3E12"/>
    <w:rsid w:val="009B40B4"/>
    <w:rsid w:val="009B4138"/>
    <w:rsid w:val="009B4FAC"/>
    <w:rsid w:val="009B50FC"/>
    <w:rsid w:val="009B5BE2"/>
    <w:rsid w:val="009B6146"/>
    <w:rsid w:val="009B61C3"/>
    <w:rsid w:val="009B67E8"/>
    <w:rsid w:val="009B6C79"/>
    <w:rsid w:val="009B6E39"/>
    <w:rsid w:val="009B72AB"/>
    <w:rsid w:val="009B741F"/>
    <w:rsid w:val="009C005D"/>
    <w:rsid w:val="009C04BB"/>
    <w:rsid w:val="009C067F"/>
    <w:rsid w:val="009C0855"/>
    <w:rsid w:val="009C1246"/>
    <w:rsid w:val="009C1E4A"/>
    <w:rsid w:val="009C2518"/>
    <w:rsid w:val="009C26A2"/>
    <w:rsid w:val="009C28EA"/>
    <w:rsid w:val="009C374F"/>
    <w:rsid w:val="009C4027"/>
    <w:rsid w:val="009C48EE"/>
    <w:rsid w:val="009C4DFF"/>
    <w:rsid w:val="009C5079"/>
    <w:rsid w:val="009C5276"/>
    <w:rsid w:val="009C5635"/>
    <w:rsid w:val="009C63F4"/>
    <w:rsid w:val="009C684F"/>
    <w:rsid w:val="009C69F7"/>
    <w:rsid w:val="009C7168"/>
    <w:rsid w:val="009C72AF"/>
    <w:rsid w:val="009C72C1"/>
    <w:rsid w:val="009D0FCA"/>
    <w:rsid w:val="009D131A"/>
    <w:rsid w:val="009D1E32"/>
    <w:rsid w:val="009D2D1D"/>
    <w:rsid w:val="009D2F7B"/>
    <w:rsid w:val="009D2FD1"/>
    <w:rsid w:val="009D325E"/>
    <w:rsid w:val="009D343E"/>
    <w:rsid w:val="009D36BC"/>
    <w:rsid w:val="009D36E3"/>
    <w:rsid w:val="009D3833"/>
    <w:rsid w:val="009D39D6"/>
    <w:rsid w:val="009D40DD"/>
    <w:rsid w:val="009D457E"/>
    <w:rsid w:val="009D4779"/>
    <w:rsid w:val="009D48FF"/>
    <w:rsid w:val="009D49D6"/>
    <w:rsid w:val="009D5216"/>
    <w:rsid w:val="009D5BD2"/>
    <w:rsid w:val="009D5D53"/>
    <w:rsid w:val="009D5FF0"/>
    <w:rsid w:val="009D6235"/>
    <w:rsid w:val="009D6ED2"/>
    <w:rsid w:val="009D731A"/>
    <w:rsid w:val="009D7340"/>
    <w:rsid w:val="009D768B"/>
    <w:rsid w:val="009D7B36"/>
    <w:rsid w:val="009D7C33"/>
    <w:rsid w:val="009D7EDE"/>
    <w:rsid w:val="009E1A20"/>
    <w:rsid w:val="009E1F48"/>
    <w:rsid w:val="009E2302"/>
    <w:rsid w:val="009E2721"/>
    <w:rsid w:val="009E283F"/>
    <w:rsid w:val="009E2B71"/>
    <w:rsid w:val="009E2E8F"/>
    <w:rsid w:val="009E3259"/>
    <w:rsid w:val="009E3435"/>
    <w:rsid w:val="009E44CE"/>
    <w:rsid w:val="009E507B"/>
    <w:rsid w:val="009E525A"/>
    <w:rsid w:val="009E594C"/>
    <w:rsid w:val="009E5E96"/>
    <w:rsid w:val="009E5F41"/>
    <w:rsid w:val="009E60B8"/>
    <w:rsid w:val="009E6A2C"/>
    <w:rsid w:val="009E74CF"/>
    <w:rsid w:val="009F042D"/>
    <w:rsid w:val="009F1993"/>
    <w:rsid w:val="009F2211"/>
    <w:rsid w:val="009F26C2"/>
    <w:rsid w:val="009F3165"/>
    <w:rsid w:val="009F3830"/>
    <w:rsid w:val="009F3E74"/>
    <w:rsid w:val="009F45AA"/>
    <w:rsid w:val="009F6564"/>
    <w:rsid w:val="009F65BE"/>
    <w:rsid w:val="009F6874"/>
    <w:rsid w:val="009F78F2"/>
    <w:rsid w:val="009F7A25"/>
    <w:rsid w:val="00A006FA"/>
    <w:rsid w:val="00A00E87"/>
    <w:rsid w:val="00A014AD"/>
    <w:rsid w:val="00A014CE"/>
    <w:rsid w:val="00A01662"/>
    <w:rsid w:val="00A01AEB"/>
    <w:rsid w:val="00A025E9"/>
    <w:rsid w:val="00A02885"/>
    <w:rsid w:val="00A028EE"/>
    <w:rsid w:val="00A0321D"/>
    <w:rsid w:val="00A03CEB"/>
    <w:rsid w:val="00A03CFA"/>
    <w:rsid w:val="00A05A49"/>
    <w:rsid w:val="00A066F9"/>
    <w:rsid w:val="00A07C5C"/>
    <w:rsid w:val="00A07D22"/>
    <w:rsid w:val="00A07EC7"/>
    <w:rsid w:val="00A102B5"/>
    <w:rsid w:val="00A105D0"/>
    <w:rsid w:val="00A10AE0"/>
    <w:rsid w:val="00A10B08"/>
    <w:rsid w:val="00A11FB6"/>
    <w:rsid w:val="00A1228B"/>
    <w:rsid w:val="00A12FAD"/>
    <w:rsid w:val="00A138BE"/>
    <w:rsid w:val="00A13930"/>
    <w:rsid w:val="00A13D2B"/>
    <w:rsid w:val="00A14964"/>
    <w:rsid w:val="00A14CC6"/>
    <w:rsid w:val="00A14DDB"/>
    <w:rsid w:val="00A17739"/>
    <w:rsid w:val="00A17AEB"/>
    <w:rsid w:val="00A17D17"/>
    <w:rsid w:val="00A17D4A"/>
    <w:rsid w:val="00A17F5C"/>
    <w:rsid w:val="00A17FA1"/>
    <w:rsid w:val="00A20892"/>
    <w:rsid w:val="00A20A66"/>
    <w:rsid w:val="00A215C7"/>
    <w:rsid w:val="00A22021"/>
    <w:rsid w:val="00A2273B"/>
    <w:rsid w:val="00A22BAF"/>
    <w:rsid w:val="00A22D05"/>
    <w:rsid w:val="00A233E0"/>
    <w:rsid w:val="00A237A0"/>
    <w:rsid w:val="00A23D8D"/>
    <w:rsid w:val="00A24769"/>
    <w:rsid w:val="00A24858"/>
    <w:rsid w:val="00A24B9F"/>
    <w:rsid w:val="00A24C4D"/>
    <w:rsid w:val="00A24EFD"/>
    <w:rsid w:val="00A24F8D"/>
    <w:rsid w:val="00A2532B"/>
    <w:rsid w:val="00A253EE"/>
    <w:rsid w:val="00A25DD7"/>
    <w:rsid w:val="00A26667"/>
    <w:rsid w:val="00A26DB3"/>
    <w:rsid w:val="00A2744A"/>
    <w:rsid w:val="00A278CF"/>
    <w:rsid w:val="00A30131"/>
    <w:rsid w:val="00A3067B"/>
    <w:rsid w:val="00A3067F"/>
    <w:rsid w:val="00A307C8"/>
    <w:rsid w:val="00A30902"/>
    <w:rsid w:val="00A31C04"/>
    <w:rsid w:val="00A3267A"/>
    <w:rsid w:val="00A32695"/>
    <w:rsid w:val="00A32A7B"/>
    <w:rsid w:val="00A33254"/>
    <w:rsid w:val="00A33F9E"/>
    <w:rsid w:val="00A3427D"/>
    <w:rsid w:val="00A34CF0"/>
    <w:rsid w:val="00A34E10"/>
    <w:rsid w:val="00A354D0"/>
    <w:rsid w:val="00A354FE"/>
    <w:rsid w:val="00A36D84"/>
    <w:rsid w:val="00A36F74"/>
    <w:rsid w:val="00A40052"/>
    <w:rsid w:val="00A40216"/>
    <w:rsid w:val="00A4090D"/>
    <w:rsid w:val="00A40DDF"/>
    <w:rsid w:val="00A41086"/>
    <w:rsid w:val="00A4139E"/>
    <w:rsid w:val="00A415C1"/>
    <w:rsid w:val="00A426A4"/>
    <w:rsid w:val="00A43CAB"/>
    <w:rsid w:val="00A43E04"/>
    <w:rsid w:val="00A44C17"/>
    <w:rsid w:val="00A44F4A"/>
    <w:rsid w:val="00A44FF5"/>
    <w:rsid w:val="00A45DB7"/>
    <w:rsid w:val="00A4657F"/>
    <w:rsid w:val="00A4695A"/>
    <w:rsid w:val="00A50A4E"/>
    <w:rsid w:val="00A50C21"/>
    <w:rsid w:val="00A5135D"/>
    <w:rsid w:val="00A51A81"/>
    <w:rsid w:val="00A523DF"/>
    <w:rsid w:val="00A52418"/>
    <w:rsid w:val="00A52789"/>
    <w:rsid w:val="00A52A7D"/>
    <w:rsid w:val="00A52AD3"/>
    <w:rsid w:val="00A52F26"/>
    <w:rsid w:val="00A5337C"/>
    <w:rsid w:val="00A53692"/>
    <w:rsid w:val="00A53FD3"/>
    <w:rsid w:val="00A54D67"/>
    <w:rsid w:val="00A54E20"/>
    <w:rsid w:val="00A55611"/>
    <w:rsid w:val="00A5590F"/>
    <w:rsid w:val="00A5597F"/>
    <w:rsid w:val="00A5651E"/>
    <w:rsid w:val="00A56532"/>
    <w:rsid w:val="00A5656B"/>
    <w:rsid w:val="00A56FEB"/>
    <w:rsid w:val="00A606B6"/>
    <w:rsid w:val="00A60C6D"/>
    <w:rsid w:val="00A619A4"/>
    <w:rsid w:val="00A62A42"/>
    <w:rsid w:val="00A63190"/>
    <w:rsid w:val="00A64203"/>
    <w:rsid w:val="00A64642"/>
    <w:rsid w:val="00A64A95"/>
    <w:rsid w:val="00A64DDA"/>
    <w:rsid w:val="00A667F3"/>
    <w:rsid w:val="00A66929"/>
    <w:rsid w:val="00A66B0B"/>
    <w:rsid w:val="00A66E7C"/>
    <w:rsid w:val="00A7071C"/>
    <w:rsid w:val="00A719B8"/>
    <w:rsid w:val="00A71F79"/>
    <w:rsid w:val="00A720D9"/>
    <w:rsid w:val="00A72767"/>
    <w:rsid w:val="00A72A1D"/>
    <w:rsid w:val="00A72E4C"/>
    <w:rsid w:val="00A72E5A"/>
    <w:rsid w:val="00A73247"/>
    <w:rsid w:val="00A73DB2"/>
    <w:rsid w:val="00A740D1"/>
    <w:rsid w:val="00A74414"/>
    <w:rsid w:val="00A747AE"/>
    <w:rsid w:val="00A74F74"/>
    <w:rsid w:val="00A74FB0"/>
    <w:rsid w:val="00A751B7"/>
    <w:rsid w:val="00A76C19"/>
    <w:rsid w:val="00A77425"/>
    <w:rsid w:val="00A77531"/>
    <w:rsid w:val="00A8011C"/>
    <w:rsid w:val="00A804E3"/>
    <w:rsid w:val="00A8075D"/>
    <w:rsid w:val="00A81C68"/>
    <w:rsid w:val="00A81D85"/>
    <w:rsid w:val="00A82102"/>
    <w:rsid w:val="00A8221D"/>
    <w:rsid w:val="00A8225D"/>
    <w:rsid w:val="00A82FD7"/>
    <w:rsid w:val="00A8311C"/>
    <w:rsid w:val="00A832EC"/>
    <w:rsid w:val="00A83574"/>
    <w:rsid w:val="00A835BE"/>
    <w:rsid w:val="00A83C36"/>
    <w:rsid w:val="00A83DE9"/>
    <w:rsid w:val="00A84E62"/>
    <w:rsid w:val="00A851CE"/>
    <w:rsid w:val="00A859C9"/>
    <w:rsid w:val="00A85E30"/>
    <w:rsid w:val="00A86864"/>
    <w:rsid w:val="00A86C7A"/>
    <w:rsid w:val="00A86E9E"/>
    <w:rsid w:val="00A878AD"/>
    <w:rsid w:val="00A87CF2"/>
    <w:rsid w:val="00A90C8E"/>
    <w:rsid w:val="00A90D7D"/>
    <w:rsid w:val="00A90E51"/>
    <w:rsid w:val="00A910A4"/>
    <w:rsid w:val="00A9131C"/>
    <w:rsid w:val="00A9170D"/>
    <w:rsid w:val="00A91CD7"/>
    <w:rsid w:val="00A920A1"/>
    <w:rsid w:val="00A92142"/>
    <w:rsid w:val="00A92B52"/>
    <w:rsid w:val="00A92BC2"/>
    <w:rsid w:val="00A92DF8"/>
    <w:rsid w:val="00A93096"/>
    <w:rsid w:val="00A93E68"/>
    <w:rsid w:val="00A94365"/>
    <w:rsid w:val="00A95467"/>
    <w:rsid w:val="00A9638B"/>
    <w:rsid w:val="00A9672D"/>
    <w:rsid w:val="00A97D4A"/>
    <w:rsid w:val="00A97DF3"/>
    <w:rsid w:val="00A97E92"/>
    <w:rsid w:val="00AA0848"/>
    <w:rsid w:val="00AA1004"/>
    <w:rsid w:val="00AA126F"/>
    <w:rsid w:val="00AA1D9A"/>
    <w:rsid w:val="00AA345C"/>
    <w:rsid w:val="00AA3941"/>
    <w:rsid w:val="00AA428C"/>
    <w:rsid w:val="00AA4998"/>
    <w:rsid w:val="00AA4B4C"/>
    <w:rsid w:val="00AA4FB5"/>
    <w:rsid w:val="00AA57BB"/>
    <w:rsid w:val="00AA6286"/>
    <w:rsid w:val="00AA75E9"/>
    <w:rsid w:val="00AA7A45"/>
    <w:rsid w:val="00AB07F3"/>
    <w:rsid w:val="00AB0A10"/>
    <w:rsid w:val="00AB190B"/>
    <w:rsid w:val="00AB1BDF"/>
    <w:rsid w:val="00AB1E8B"/>
    <w:rsid w:val="00AB298C"/>
    <w:rsid w:val="00AB34CF"/>
    <w:rsid w:val="00AB3945"/>
    <w:rsid w:val="00AB421B"/>
    <w:rsid w:val="00AB44D7"/>
    <w:rsid w:val="00AB45AF"/>
    <w:rsid w:val="00AB47ED"/>
    <w:rsid w:val="00AB51F1"/>
    <w:rsid w:val="00AB5C19"/>
    <w:rsid w:val="00AB5F44"/>
    <w:rsid w:val="00AB7339"/>
    <w:rsid w:val="00AB75DE"/>
    <w:rsid w:val="00AB7C53"/>
    <w:rsid w:val="00AB7FF3"/>
    <w:rsid w:val="00AC0376"/>
    <w:rsid w:val="00AC0B23"/>
    <w:rsid w:val="00AC0E32"/>
    <w:rsid w:val="00AC10DA"/>
    <w:rsid w:val="00AC174E"/>
    <w:rsid w:val="00AC1A00"/>
    <w:rsid w:val="00AC1E0F"/>
    <w:rsid w:val="00AC276D"/>
    <w:rsid w:val="00AC31C8"/>
    <w:rsid w:val="00AC37DF"/>
    <w:rsid w:val="00AC44E1"/>
    <w:rsid w:val="00AC473E"/>
    <w:rsid w:val="00AC4A40"/>
    <w:rsid w:val="00AC56F6"/>
    <w:rsid w:val="00AC5AAD"/>
    <w:rsid w:val="00AC5B71"/>
    <w:rsid w:val="00AC5CD7"/>
    <w:rsid w:val="00AC6436"/>
    <w:rsid w:val="00AC64D1"/>
    <w:rsid w:val="00AC6A41"/>
    <w:rsid w:val="00AC6EF3"/>
    <w:rsid w:val="00AC6FB1"/>
    <w:rsid w:val="00AC73CC"/>
    <w:rsid w:val="00AC7739"/>
    <w:rsid w:val="00AC7AA3"/>
    <w:rsid w:val="00AC7C56"/>
    <w:rsid w:val="00AC7CEB"/>
    <w:rsid w:val="00AD046D"/>
    <w:rsid w:val="00AD0C39"/>
    <w:rsid w:val="00AD0D11"/>
    <w:rsid w:val="00AD13B9"/>
    <w:rsid w:val="00AD1FCE"/>
    <w:rsid w:val="00AD249A"/>
    <w:rsid w:val="00AD2502"/>
    <w:rsid w:val="00AD250B"/>
    <w:rsid w:val="00AD2D3C"/>
    <w:rsid w:val="00AD2EDD"/>
    <w:rsid w:val="00AD30E7"/>
    <w:rsid w:val="00AD31F0"/>
    <w:rsid w:val="00AD3692"/>
    <w:rsid w:val="00AD391E"/>
    <w:rsid w:val="00AD3B0D"/>
    <w:rsid w:val="00AD47A9"/>
    <w:rsid w:val="00AD4D79"/>
    <w:rsid w:val="00AD5264"/>
    <w:rsid w:val="00AD5D57"/>
    <w:rsid w:val="00AD624D"/>
    <w:rsid w:val="00AD6544"/>
    <w:rsid w:val="00AD69A3"/>
    <w:rsid w:val="00AD6F1D"/>
    <w:rsid w:val="00AD7F07"/>
    <w:rsid w:val="00AE03EF"/>
    <w:rsid w:val="00AE05D8"/>
    <w:rsid w:val="00AE0F30"/>
    <w:rsid w:val="00AE0FB8"/>
    <w:rsid w:val="00AE1C2A"/>
    <w:rsid w:val="00AE1E72"/>
    <w:rsid w:val="00AE22EC"/>
    <w:rsid w:val="00AE2895"/>
    <w:rsid w:val="00AE3752"/>
    <w:rsid w:val="00AE52E9"/>
    <w:rsid w:val="00AE5636"/>
    <w:rsid w:val="00AE5C70"/>
    <w:rsid w:val="00AE6241"/>
    <w:rsid w:val="00AE6955"/>
    <w:rsid w:val="00AE70C2"/>
    <w:rsid w:val="00AE74A1"/>
    <w:rsid w:val="00AE776E"/>
    <w:rsid w:val="00AF037D"/>
    <w:rsid w:val="00AF0397"/>
    <w:rsid w:val="00AF0A2E"/>
    <w:rsid w:val="00AF0A5E"/>
    <w:rsid w:val="00AF1E2A"/>
    <w:rsid w:val="00AF1F30"/>
    <w:rsid w:val="00AF2FB0"/>
    <w:rsid w:val="00AF2FF8"/>
    <w:rsid w:val="00AF3DDB"/>
    <w:rsid w:val="00AF546B"/>
    <w:rsid w:val="00AF5D33"/>
    <w:rsid w:val="00AF6543"/>
    <w:rsid w:val="00AF67D6"/>
    <w:rsid w:val="00AF7319"/>
    <w:rsid w:val="00AF7CE9"/>
    <w:rsid w:val="00B00264"/>
    <w:rsid w:val="00B0059A"/>
    <w:rsid w:val="00B007C7"/>
    <w:rsid w:val="00B0118F"/>
    <w:rsid w:val="00B01997"/>
    <w:rsid w:val="00B01BE4"/>
    <w:rsid w:val="00B023EA"/>
    <w:rsid w:val="00B02666"/>
    <w:rsid w:val="00B026F5"/>
    <w:rsid w:val="00B029E2"/>
    <w:rsid w:val="00B02B8C"/>
    <w:rsid w:val="00B03631"/>
    <w:rsid w:val="00B038B0"/>
    <w:rsid w:val="00B03EE4"/>
    <w:rsid w:val="00B049D3"/>
    <w:rsid w:val="00B05317"/>
    <w:rsid w:val="00B05F9B"/>
    <w:rsid w:val="00B06226"/>
    <w:rsid w:val="00B0674D"/>
    <w:rsid w:val="00B068CF"/>
    <w:rsid w:val="00B06A2D"/>
    <w:rsid w:val="00B06E0E"/>
    <w:rsid w:val="00B06FD5"/>
    <w:rsid w:val="00B07652"/>
    <w:rsid w:val="00B07BDE"/>
    <w:rsid w:val="00B07D04"/>
    <w:rsid w:val="00B1017F"/>
    <w:rsid w:val="00B1049E"/>
    <w:rsid w:val="00B109D6"/>
    <w:rsid w:val="00B11118"/>
    <w:rsid w:val="00B114BB"/>
    <w:rsid w:val="00B11CEA"/>
    <w:rsid w:val="00B1297B"/>
    <w:rsid w:val="00B12D9D"/>
    <w:rsid w:val="00B13416"/>
    <w:rsid w:val="00B15087"/>
    <w:rsid w:val="00B151D6"/>
    <w:rsid w:val="00B1751A"/>
    <w:rsid w:val="00B179E5"/>
    <w:rsid w:val="00B20023"/>
    <w:rsid w:val="00B20224"/>
    <w:rsid w:val="00B21218"/>
    <w:rsid w:val="00B21974"/>
    <w:rsid w:val="00B21D25"/>
    <w:rsid w:val="00B220B2"/>
    <w:rsid w:val="00B224A1"/>
    <w:rsid w:val="00B22EF8"/>
    <w:rsid w:val="00B23840"/>
    <w:rsid w:val="00B23B58"/>
    <w:rsid w:val="00B23D2D"/>
    <w:rsid w:val="00B244C6"/>
    <w:rsid w:val="00B24734"/>
    <w:rsid w:val="00B25A21"/>
    <w:rsid w:val="00B260FA"/>
    <w:rsid w:val="00B26283"/>
    <w:rsid w:val="00B26B9F"/>
    <w:rsid w:val="00B2715B"/>
    <w:rsid w:val="00B27955"/>
    <w:rsid w:val="00B27FD0"/>
    <w:rsid w:val="00B30599"/>
    <w:rsid w:val="00B30926"/>
    <w:rsid w:val="00B31256"/>
    <w:rsid w:val="00B31468"/>
    <w:rsid w:val="00B316F7"/>
    <w:rsid w:val="00B31F0F"/>
    <w:rsid w:val="00B328F3"/>
    <w:rsid w:val="00B32E9B"/>
    <w:rsid w:val="00B336C3"/>
    <w:rsid w:val="00B3376E"/>
    <w:rsid w:val="00B33872"/>
    <w:rsid w:val="00B340F5"/>
    <w:rsid w:val="00B341E0"/>
    <w:rsid w:val="00B34DB2"/>
    <w:rsid w:val="00B361D0"/>
    <w:rsid w:val="00B36B20"/>
    <w:rsid w:val="00B37092"/>
    <w:rsid w:val="00B37790"/>
    <w:rsid w:val="00B40E33"/>
    <w:rsid w:val="00B415AD"/>
    <w:rsid w:val="00B41610"/>
    <w:rsid w:val="00B4162D"/>
    <w:rsid w:val="00B418DF"/>
    <w:rsid w:val="00B41E72"/>
    <w:rsid w:val="00B4276B"/>
    <w:rsid w:val="00B42A28"/>
    <w:rsid w:val="00B42D3C"/>
    <w:rsid w:val="00B43868"/>
    <w:rsid w:val="00B43BA0"/>
    <w:rsid w:val="00B445E1"/>
    <w:rsid w:val="00B45744"/>
    <w:rsid w:val="00B463C8"/>
    <w:rsid w:val="00B46F15"/>
    <w:rsid w:val="00B47379"/>
    <w:rsid w:val="00B47382"/>
    <w:rsid w:val="00B473E1"/>
    <w:rsid w:val="00B47507"/>
    <w:rsid w:val="00B47979"/>
    <w:rsid w:val="00B47DDC"/>
    <w:rsid w:val="00B500FA"/>
    <w:rsid w:val="00B506F1"/>
    <w:rsid w:val="00B5086B"/>
    <w:rsid w:val="00B50A59"/>
    <w:rsid w:val="00B50B89"/>
    <w:rsid w:val="00B5185B"/>
    <w:rsid w:val="00B52AD9"/>
    <w:rsid w:val="00B52D06"/>
    <w:rsid w:val="00B53828"/>
    <w:rsid w:val="00B53C2A"/>
    <w:rsid w:val="00B5435C"/>
    <w:rsid w:val="00B5476C"/>
    <w:rsid w:val="00B5537B"/>
    <w:rsid w:val="00B5538A"/>
    <w:rsid w:val="00B56882"/>
    <w:rsid w:val="00B579B6"/>
    <w:rsid w:val="00B57B0E"/>
    <w:rsid w:val="00B57B70"/>
    <w:rsid w:val="00B57C5D"/>
    <w:rsid w:val="00B620E3"/>
    <w:rsid w:val="00B626C1"/>
    <w:rsid w:val="00B6285B"/>
    <w:rsid w:val="00B6340B"/>
    <w:rsid w:val="00B63566"/>
    <w:rsid w:val="00B64049"/>
    <w:rsid w:val="00B644DE"/>
    <w:rsid w:val="00B648D1"/>
    <w:rsid w:val="00B64971"/>
    <w:rsid w:val="00B64A3C"/>
    <w:rsid w:val="00B653FF"/>
    <w:rsid w:val="00B656E8"/>
    <w:rsid w:val="00B670B3"/>
    <w:rsid w:val="00B67EBB"/>
    <w:rsid w:val="00B7043D"/>
    <w:rsid w:val="00B704B8"/>
    <w:rsid w:val="00B70BB6"/>
    <w:rsid w:val="00B71507"/>
    <w:rsid w:val="00B722BC"/>
    <w:rsid w:val="00B723FF"/>
    <w:rsid w:val="00B73198"/>
    <w:rsid w:val="00B73243"/>
    <w:rsid w:val="00B7325D"/>
    <w:rsid w:val="00B73B61"/>
    <w:rsid w:val="00B74499"/>
    <w:rsid w:val="00B7475C"/>
    <w:rsid w:val="00B74F90"/>
    <w:rsid w:val="00B7589E"/>
    <w:rsid w:val="00B7647F"/>
    <w:rsid w:val="00B76845"/>
    <w:rsid w:val="00B77841"/>
    <w:rsid w:val="00B77A37"/>
    <w:rsid w:val="00B77C5B"/>
    <w:rsid w:val="00B804A7"/>
    <w:rsid w:val="00B805BD"/>
    <w:rsid w:val="00B80653"/>
    <w:rsid w:val="00B80797"/>
    <w:rsid w:val="00B808C6"/>
    <w:rsid w:val="00B80A06"/>
    <w:rsid w:val="00B80BA0"/>
    <w:rsid w:val="00B80CDF"/>
    <w:rsid w:val="00B811E6"/>
    <w:rsid w:val="00B81BC5"/>
    <w:rsid w:val="00B82883"/>
    <w:rsid w:val="00B82924"/>
    <w:rsid w:val="00B83105"/>
    <w:rsid w:val="00B83487"/>
    <w:rsid w:val="00B84B2D"/>
    <w:rsid w:val="00B857FA"/>
    <w:rsid w:val="00B85BF9"/>
    <w:rsid w:val="00B85C5B"/>
    <w:rsid w:val="00B85EB6"/>
    <w:rsid w:val="00B860F6"/>
    <w:rsid w:val="00B86124"/>
    <w:rsid w:val="00B8620D"/>
    <w:rsid w:val="00B86630"/>
    <w:rsid w:val="00B86790"/>
    <w:rsid w:val="00B86BBC"/>
    <w:rsid w:val="00B8788F"/>
    <w:rsid w:val="00B8796A"/>
    <w:rsid w:val="00B87B1B"/>
    <w:rsid w:val="00B87E9F"/>
    <w:rsid w:val="00B87EEB"/>
    <w:rsid w:val="00B900DA"/>
    <w:rsid w:val="00B9047A"/>
    <w:rsid w:val="00B905C4"/>
    <w:rsid w:val="00B90F62"/>
    <w:rsid w:val="00B91223"/>
    <w:rsid w:val="00B91403"/>
    <w:rsid w:val="00B918BA"/>
    <w:rsid w:val="00B91ABE"/>
    <w:rsid w:val="00B91F84"/>
    <w:rsid w:val="00B92212"/>
    <w:rsid w:val="00B9274A"/>
    <w:rsid w:val="00B92A1C"/>
    <w:rsid w:val="00B9308D"/>
    <w:rsid w:val="00B93409"/>
    <w:rsid w:val="00B93531"/>
    <w:rsid w:val="00B93723"/>
    <w:rsid w:val="00B93E7C"/>
    <w:rsid w:val="00B947E4"/>
    <w:rsid w:val="00B94C71"/>
    <w:rsid w:val="00B9515A"/>
    <w:rsid w:val="00B95567"/>
    <w:rsid w:val="00B95B10"/>
    <w:rsid w:val="00B96170"/>
    <w:rsid w:val="00B962E2"/>
    <w:rsid w:val="00B971EF"/>
    <w:rsid w:val="00BA0060"/>
    <w:rsid w:val="00BA0196"/>
    <w:rsid w:val="00BA0981"/>
    <w:rsid w:val="00BA0F54"/>
    <w:rsid w:val="00BA16D5"/>
    <w:rsid w:val="00BA1B72"/>
    <w:rsid w:val="00BA1FDF"/>
    <w:rsid w:val="00BA304B"/>
    <w:rsid w:val="00BA3289"/>
    <w:rsid w:val="00BA380D"/>
    <w:rsid w:val="00BA4F87"/>
    <w:rsid w:val="00BA50EF"/>
    <w:rsid w:val="00BA603F"/>
    <w:rsid w:val="00BA62DF"/>
    <w:rsid w:val="00BA69C8"/>
    <w:rsid w:val="00BA6ECF"/>
    <w:rsid w:val="00BA7715"/>
    <w:rsid w:val="00BB03D9"/>
    <w:rsid w:val="00BB0CF0"/>
    <w:rsid w:val="00BB0D51"/>
    <w:rsid w:val="00BB135C"/>
    <w:rsid w:val="00BB2057"/>
    <w:rsid w:val="00BB27C0"/>
    <w:rsid w:val="00BB292E"/>
    <w:rsid w:val="00BB32D0"/>
    <w:rsid w:val="00BB4480"/>
    <w:rsid w:val="00BB548C"/>
    <w:rsid w:val="00BB63E8"/>
    <w:rsid w:val="00BB6682"/>
    <w:rsid w:val="00BB75DC"/>
    <w:rsid w:val="00BB7730"/>
    <w:rsid w:val="00BB7AC9"/>
    <w:rsid w:val="00BC044C"/>
    <w:rsid w:val="00BC0585"/>
    <w:rsid w:val="00BC06D7"/>
    <w:rsid w:val="00BC1A2F"/>
    <w:rsid w:val="00BC202E"/>
    <w:rsid w:val="00BC208D"/>
    <w:rsid w:val="00BC260C"/>
    <w:rsid w:val="00BC2EC8"/>
    <w:rsid w:val="00BC4C01"/>
    <w:rsid w:val="00BC4D4C"/>
    <w:rsid w:val="00BC550B"/>
    <w:rsid w:val="00BC5A1E"/>
    <w:rsid w:val="00BC5AEC"/>
    <w:rsid w:val="00BC6B09"/>
    <w:rsid w:val="00BC6EE0"/>
    <w:rsid w:val="00BC7B29"/>
    <w:rsid w:val="00BC7CE3"/>
    <w:rsid w:val="00BD04E6"/>
    <w:rsid w:val="00BD1173"/>
    <w:rsid w:val="00BD1461"/>
    <w:rsid w:val="00BD1CFE"/>
    <w:rsid w:val="00BD25B5"/>
    <w:rsid w:val="00BD295B"/>
    <w:rsid w:val="00BD2A2A"/>
    <w:rsid w:val="00BD2A55"/>
    <w:rsid w:val="00BD3853"/>
    <w:rsid w:val="00BD451B"/>
    <w:rsid w:val="00BD4B9C"/>
    <w:rsid w:val="00BD57C9"/>
    <w:rsid w:val="00BD6687"/>
    <w:rsid w:val="00BD6BE3"/>
    <w:rsid w:val="00BD6BFC"/>
    <w:rsid w:val="00BD7C27"/>
    <w:rsid w:val="00BE0123"/>
    <w:rsid w:val="00BE026D"/>
    <w:rsid w:val="00BE0E59"/>
    <w:rsid w:val="00BE14A9"/>
    <w:rsid w:val="00BE1532"/>
    <w:rsid w:val="00BE19EA"/>
    <w:rsid w:val="00BE241D"/>
    <w:rsid w:val="00BE3884"/>
    <w:rsid w:val="00BE3DBD"/>
    <w:rsid w:val="00BE4973"/>
    <w:rsid w:val="00BE4F8D"/>
    <w:rsid w:val="00BE557F"/>
    <w:rsid w:val="00BE58E9"/>
    <w:rsid w:val="00BE608E"/>
    <w:rsid w:val="00BE6398"/>
    <w:rsid w:val="00BE649A"/>
    <w:rsid w:val="00BE7400"/>
    <w:rsid w:val="00BE7515"/>
    <w:rsid w:val="00BE7EB3"/>
    <w:rsid w:val="00BF0D8F"/>
    <w:rsid w:val="00BF0E1F"/>
    <w:rsid w:val="00BF1E9C"/>
    <w:rsid w:val="00BF24F9"/>
    <w:rsid w:val="00BF27B7"/>
    <w:rsid w:val="00BF2BD5"/>
    <w:rsid w:val="00BF2C71"/>
    <w:rsid w:val="00BF301D"/>
    <w:rsid w:val="00BF399F"/>
    <w:rsid w:val="00BF4516"/>
    <w:rsid w:val="00BF4A87"/>
    <w:rsid w:val="00BF4D94"/>
    <w:rsid w:val="00BF586D"/>
    <w:rsid w:val="00BF5E18"/>
    <w:rsid w:val="00BF6008"/>
    <w:rsid w:val="00BF621A"/>
    <w:rsid w:val="00BF65A1"/>
    <w:rsid w:val="00BF6B18"/>
    <w:rsid w:val="00BF6CD7"/>
    <w:rsid w:val="00BF70EB"/>
    <w:rsid w:val="00BF7960"/>
    <w:rsid w:val="00C00012"/>
    <w:rsid w:val="00C00A41"/>
    <w:rsid w:val="00C00F4D"/>
    <w:rsid w:val="00C013A3"/>
    <w:rsid w:val="00C01BDB"/>
    <w:rsid w:val="00C01C6E"/>
    <w:rsid w:val="00C02947"/>
    <w:rsid w:val="00C02C56"/>
    <w:rsid w:val="00C0301E"/>
    <w:rsid w:val="00C0405B"/>
    <w:rsid w:val="00C041AF"/>
    <w:rsid w:val="00C0474C"/>
    <w:rsid w:val="00C04967"/>
    <w:rsid w:val="00C04F09"/>
    <w:rsid w:val="00C05556"/>
    <w:rsid w:val="00C05D26"/>
    <w:rsid w:val="00C05F81"/>
    <w:rsid w:val="00C070B9"/>
    <w:rsid w:val="00C1106E"/>
    <w:rsid w:val="00C120CF"/>
    <w:rsid w:val="00C13852"/>
    <w:rsid w:val="00C13B12"/>
    <w:rsid w:val="00C143CA"/>
    <w:rsid w:val="00C14501"/>
    <w:rsid w:val="00C14C10"/>
    <w:rsid w:val="00C1509A"/>
    <w:rsid w:val="00C157B1"/>
    <w:rsid w:val="00C161F8"/>
    <w:rsid w:val="00C171BB"/>
    <w:rsid w:val="00C177EC"/>
    <w:rsid w:val="00C17920"/>
    <w:rsid w:val="00C179DF"/>
    <w:rsid w:val="00C17A6F"/>
    <w:rsid w:val="00C17B98"/>
    <w:rsid w:val="00C17FC1"/>
    <w:rsid w:val="00C2186E"/>
    <w:rsid w:val="00C21AC0"/>
    <w:rsid w:val="00C21C97"/>
    <w:rsid w:val="00C21CBC"/>
    <w:rsid w:val="00C21EE1"/>
    <w:rsid w:val="00C22AB1"/>
    <w:rsid w:val="00C23AA0"/>
    <w:rsid w:val="00C243E7"/>
    <w:rsid w:val="00C24426"/>
    <w:rsid w:val="00C2493B"/>
    <w:rsid w:val="00C250A1"/>
    <w:rsid w:val="00C2519E"/>
    <w:rsid w:val="00C25228"/>
    <w:rsid w:val="00C2558C"/>
    <w:rsid w:val="00C263D3"/>
    <w:rsid w:val="00C26774"/>
    <w:rsid w:val="00C268BA"/>
    <w:rsid w:val="00C26FCB"/>
    <w:rsid w:val="00C300AC"/>
    <w:rsid w:val="00C30700"/>
    <w:rsid w:val="00C309B1"/>
    <w:rsid w:val="00C310D8"/>
    <w:rsid w:val="00C312B1"/>
    <w:rsid w:val="00C31969"/>
    <w:rsid w:val="00C3204A"/>
    <w:rsid w:val="00C32543"/>
    <w:rsid w:val="00C32B74"/>
    <w:rsid w:val="00C32FB9"/>
    <w:rsid w:val="00C330A4"/>
    <w:rsid w:val="00C332FB"/>
    <w:rsid w:val="00C337A4"/>
    <w:rsid w:val="00C339E0"/>
    <w:rsid w:val="00C33A01"/>
    <w:rsid w:val="00C33CDB"/>
    <w:rsid w:val="00C3410C"/>
    <w:rsid w:val="00C341E5"/>
    <w:rsid w:val="00C3430A"/>
    <w:rsid w:val="00C34558"/>
    <w:rsid w:val="00C34AC0"/>
    <w:rsid w:val="00C34B65"/>
    <w:rsid w:val="00C34D9E"/>
    <w:rsid w:val="00C3502D"/>
    <w:rsid w:val="00C37784"/>
    <w:rsid w:val="00C4036D"/>
    <w:rsid w:val="00C40E98"/>
    <w:rsid w:val="00C41136"/>
    <w:rsid w:val="00C4120C"/>
    <w:rsid w:val="00C413FB"/>
    <w:rsid w:val="00C41C75"/>
    <w:rsid w:val="00C421E4"/>
    <w:rsid w:val="00C42202"/>
    <w:rsid w:val="00C4281F"/>
    <w:rsid w:val="00C429AC"/>
    <w:rsid w:val="00C42A6F"/>
    <w:rsid w:val="00C42BF2"/>
    <w:rsid w:val="00C42C82"/>
    <w:rsid w:val="00C42D57"/>
    <w:rsid w:val="00C44234"/>
    <w:rsid w:val="00C44478"/>
    <w:rsid w:val="00C44A63"/>
    <w:rsid w:val="00C44DF4"/>
    <w:rsid w:val="00C44FCF"/>
    <w:rsid w:val="00C45214"/>
    <w:rsid w:val="00C465B3"/>
    <w:rsid w:val="00C467F8"/>
    <w:rsid w:val="00C46938"/>
    <w:rsid w:val="00C469C4"/>
    <w:rsid w:val="00C46D8B"/>
    <w:rsid w:val="00C46F47"/>
    <w:rsid w:val="00C470D9"/>
    <w:rsid w:val="00C47A89"/>
    <w:rsid w:val="00C47BAA"/>
    <w:rsid w:val="00C47C7F"/>
    <w:rsid w:val="00C47EB1"/>
    <w:rsid w:val="00C5120A"/>
    <w:rsid w:val="00C513B8"/>
    <w:rsid w:val="00C51C93"/>
    <w:rsid w:val="00C51D28"/>
    <w:rsid w:val="00C51EF4"/>
    <w:rsid w:val="00C51FE1"/>
    <w:rsid w:val="00C52210"/>
    <w:rsid w:val="00C5269A"/>
    <w:rsid w:val="00C526BD"/>
    <w:rsid w:val="00C53454"/>
    <w:rsid w:val="00C53C7D"/>
    <w:rsid w:val="00C55206"/>
    <w:rsid w:val="00C55634"/>
    <w:rsid w:val="00C56099"/>
    <w:rsid w:val="00C565D5"/>
    <w:rsid w:val="00C56FA3"/>
    <w:rsid w:val="00C57B0E"/>
    <w:rsid w:val="00C6049E"/>
    <w:rsid w:val="00C608A2"/>
    <w:rsid w:val="00C60E9F"/>
    <w:rsid w:val="00C61759"/>
    <w:rsid w:val="00C61D8C"/>
    <w:rsid w:val="00C61E78"/>
    <w:rsid w:val="00C61F51"/>
    <w:rsid w:val="00C62A1F"/>
    <w:rsid w:val="00C6403F"/>
    <w:rsid w:val="00C640E1"/>
    <w:rsid w:val="00C64C6E"/>
    <w:rsid w:val="00C6519C"/>
    <w:rsid w:val="00C65721"/>
    <w:rsid w:val="00C671CB"/>
    <w:rsid w:val="00C677D4"/>
    <w:rsid w:val="00C67C7E"/>
    <w:rsid w:val="00C67F2A"/>
    <w:rsid w:val="00C67F69"/>
    <w:rsid w:val="00C67FCD"/>
    <w:rsid w:val="00C70244"/>
    <w:rsid w:val="00C70307"/>
    <w:rsid w:val="00C703BD"/>
    <w:rsid w:val="00C704A5"/>
    <w:rsid w:val="00C70C49"/>
    <w:rsid w:val="00C70E39"/>
    <w:rsid w:val="00C718BC"/>
    <w:rsid w:val="00C72A90"/>
    <w:rsid w:val="00C73534"/>
    <w:rsid w:val="00C75734"/>
    <w:rsid w:val="00C75990"/>
    <w:rsid w:val="00C7684A"/>
    <w:rsid w:val="00C774E6"/>
    <w:rsid w:val="00C77543"/>
    <w:rsid w:val="00C778CD"/>
    <w:rsid w:val="00C806F7"/>
    <w:rsid w:val="00C80896"/>
    <w:rsid w:val="00C80BA5"/>
    <w:rsid w:val="00C80C54"/>
    <w:rsid w:val="00C80D03"/>
    <w:rsid w:val="00C810AB"/>
    <w:rsid w:val="00C812F0"/>
    <w:rsid w:val="00C8285D"/>
    <w:rsid w:val="00C83966"/>
    <w:rsid w:val="00C841C8"/>
    <w:rsid w:val="00C842CB"/>
    <w:rsid w:val="00C847FF"/>
    <w:rsid w:val="00C84A98"/>
    <w:rsid w:val="00C855D9"/>
    <w:rsid w:val="00C856CC"/>
    <w:rsid w:val="00C856D1"/>
    <w:rsid w:val="00C86242"/>
    <w:rsid w:val="00C86887"/>
    <w:rsid w:val="00C86C12"/>
    <w:rsid w:val="00C875D8"/>
    <w:rsid w:val="00C9104E"/>
    <w:rsid w:val="00C917A1"/>
    <w:rsid w:val="00C91EBC"/>
    <w:rsid w:val="00C920D4"/>
    <w:rsid w:val="00C9220D"/>
    <w:rsid w:val="00C92422"/>
    <w:rsid w:val="00C92777"/>
    <w:rsid w:val="00C92BA1"/>
    <w:rsid w:val="00C936C8"/>
    <w:rsid w:val="00C94A71"/>
    <w:rsid w:val="00C95BFB"/>
    <w:rsid w:val="00C96323"/>
    <w:rsid w:val="00C9693F"/>
    <w:rsid w:val="00C971B8"/>
    <w:rsid w:val="00C97856"/>
    <w:rsid w:val="00CA0D35"/>
    <w:rsid w:val="00CA0D74"/>
    <w:rsid w:val="00CA14FD"/>
    <w:rsid w:val="00CA1618"/>
    <w:rsid w:val="00CA1933"/>
    <w:rsid w:val="00CA2CE1"/>
    <w:rsid w:val="00CA35CD"/>
    <w:rsid w:val="00CA3618"/>
    <w:rsid w:val="00CA3B4E"/>
    <w:rsid w:val="00CA469E"/>
    <w:rsid w:val="00CA4B91"/>
    <w:rsid w:val="00CA5B80"/>
    <w:rsid w:val="00CA5E57"/>
    <w:rsid w:val="00CA6819"/>
    <w:rsid w:val="00CA68A3"/>
    <w:rsid w:val="00CA6EA5"/>
    <w:rsid w:val="00CA6FD9"/>
    <w:rsid w:val="00CA7787"/>
    <w:rsid w:val="00CA7BB0"/>
    <w:rsid w:val="00CB0824"/>
    <w:rsid w:val="00CB0887"/>
    <w:rsid w:val="00CB13E7"/>
    <w:rsid w:val="00CB1800"/>
    <w:rsid w:val="00CB1821"/>
    <w:rsid w:val="00CB32B5"/>
    <w:rsid w:val="00CB3428"/>
    <w:rsid w:val="00CB34AC"/>
    <w:rsid w:val="00CB3915"/>
    <w:rsid w:val="00CB4472"/>
    <w:rsid w:val="00CB44BA"/>
    <w:rsid w:val="00CB4535"/>
    <w:rsid w:val="00CB4D38"/>
    <w:rsid w:val="00CB520B"/>
    <w:rsid w:val="00CB531C"/>
    <w:rsid w:val="00CB60E2"/>
    <w:rsid w:val="00CB616B"/>
    <w:rsid w:val="00CB6578"/>
    <w:rsid w:val="00CB6DBE"/>
    <w:rsid w:val="00CB6E33"/>
    <w:rsid w:val="00CB75CE"/>
    <w:rsid w:val="00CB76A4"/>
    <w:rsid w:val="00CB7F83"/>
    <w:rsid w:val="00CC013B"/>
    <w:rsid w:val="00CC1605"/>
    <w:rsid w:val="00CC16DE"/>
    <w:rsid w:val="00CC1D48"/>
    <w:rsid w:val="00CC2333"/>
    <w:rsid w:val="00CC2514"/>
    <w:rsid w:val="00CC25E3"/>
    <w:rsid w:val="00CC2AE9"/>
    <w:rsid w:val="00CC2D05"/>
    <w:rsid w:val="00CC3099"/>
    <w:rsid w:val="00CC309E"/>
    <w:rsid w:val="00CC34A9"/>
    <w:rsid w:val="00CC35C5"/>
    <w:rsid w:val="00CC37A8"/>
    <w:rsid w:val="00CC421D"/>
    <w:rsid w:val="00CC4AFC"/>
    <w:rsid w:val="00CC5A1F"/>
    <w:rsid w:val="00CC5AE9"/>
    <w:rsid w:val="00CC645E"/>
    <w:rsid w:val="00CC64DB"/>
    <w:rsid w:val="00CC6709"/>
    <w:rsid w:val="00CC69B6"/>
    <w:rsid w:val="00CC6C03"/>
    <w:rsid w:val="00CC7F51"/>
    <w:rsid w:val="00CD1168"/>
    <w:rsid w:val="00CD1F47"/>
    <w:rsid w:val="00CD2012"/>
    <w:rsid w:val="00CD2070"/>
    <w:rsid w:val="00CD2089"/>
    <w:rsid w:val="00CD2310"/>
    <w:rsid w:val="00CD23CD"/>
    <w:rsid w:val="00CD2869"/>
    <w:rsid w:val="00CD298E"/>
    <w:rsid w:val="00CD2EED"/>
    <w:rsid w:val="00CD3066"/>
    <w:rsid w:val="00CD3187"/>
    <w:rsid w:val="00CD460D"/>
    <w:rsid w:val="00CD4611"/>
    <w:rsid w:val="00CD5060"/>
    <w:rsid w:val="00CD5525"/>
    <w:rsid w:val="00CD5746"/>
    <w:rsid w:val="00CD5984"/>
    <w:rsid w:val="00CD5EDB"/>
    <w:rsid w:val="00CD6122"/>
    <w:rsid w:val="00CD61FF"/>
    <w:rsid w:val="00CD647F"/>
    <w:rsid w:val="00CD6C42"/>
    <w:rsid w:val="00CD6DE1"/>
    <w:rsid w:val="00CD6E22"/>
    <w:rsid w:val="00CD7723"/>
    <w:rsid w:val="00CE03E9"/>
    <w:rsid w:val="00CE080F"/>
    <w:rsid w:val="00CE0B08"/>
    <w:rsid w:val="00CE0D8D"/>
    <w:rsid w:val="00CE0EE5"/>
    <w:rsid w:val="00CE1D93"/>
    <w:rsid w:val="00CE28C0"/>
    <w:rsid w:val="00CE337E"/>
    <w:rsid w:val="00CE376C"/>
    <w:rsid w:val="00CE3F82"/>
    <w:rsid w:val="00CE4083"/>
    <w:rsid w:val="00CE42DA"/>
    <w:rsid w:val="00CE4570"/>
    <w:rsid w:val="00CE4C73"/>
    <w:rsid w:val="00CE4C86"/>
    <w:rsid w:val="00CE6781"/>
    <w:rsid w:val="00CE6A00"/>
    <w:rsid w:val="00CE6B44"/>
    <w:rsid w:val="00CE6C35"/>
    <w:rsid w:val="00CE764B"/>
    <w:rsid w:val="00CF02A6"/>
    <w:rsid w:val="00CF099B"/>
    <w:rsid w:val="00CF16CF"/>
    <w:rsid w:val="00CF1AAA"/>
    <w:rsid w:val="00CF1B3B"/>
    <w:rsid w:val="00CF20AD"/>
    <w:rsid w:val="00CF23EA"/>
    <w:rsid w:val="00CF2967"/>
    <w:rsid w:val="00CF3244"/>
    <w:rsid w:val="00CF39E9"/>
    <w:rsid w:val="00CF4B55"/>
    <w:rsid w:val="00CF4B5A"/>
    <w:rsid w:val="00CF4BD7"/>
    <w:rsid w:val="00CF4DF6"/>
    <w:rsid w:val="00CF4FB9"/>
    <w:rsid w:val="00CF58D3"/>
    <w:rsid w:val="00CF5E2E"/>
    <w:rsid w:val="00CF6110"/>
    <w:rsid w:val="00CF615B"/>
    <w:rsid w:val="00CF6607"/>
    <w:rsid w:val="00CF66EE"/>
    <w:rsid w:val="00CF680A"/>
    <w:rsid w:val="00CF692E"/>
    <w:rsid w:val="00CF6F72"/>
    <w:rsid w:val="00CF7477"/>
    <w:rsid w:val="00CF7B90"/>
    <w:rsid w:val="00D00FDA"/>
    <w:rsid w:val="00D01E40"/>
    <w:rsid w:val="00D01E91"/>
    <w:rsid w:val="00D0363B"/>
    <w:rsid w:val="00D03C40"/>
    <w:rsid w:val="00D03E9B"/>
    <w:rsid w:val="00D042A3"/>
    <w:rsid w:val="00D04C77"/>
    <w:rsid w:val="00D04EAA"/>
    <w:rsid w:val="00D05084"/>
    <w:rsid w:val="00D053ED"/>
    <w:rsid w:val="00D0569F"/>
    <w:rsid w:val="00D05A07"/>
    <w:rsid w:val="00D05E93"/>
    <w:rsid w:val="00D06F18"/>
    <w:rsid w:val="00D07013"/>
    <w:rsid w:val="00D0767F"/>
    <w:rsid w:val="00D07771"/>
    <w:rsid w:val="00D10C43"/>
    <w:rsid w:val="00D113B0"/>
    <w:rsid w:val="00D11BB6"/>
    <w:rsid w:val="00D12164"/>
    <w:rsid w:val="00D12670"/>
    <w:rsid w:val="00D13129"/>
    <w:rsid w:val="00D1316F"/>
    <w:rsid w:val="00D131CA"/>
    <w:rsid w:val="00D13A70"/>
    <w:rsid w:val="00D13AAF"/>
    <w:rsid w:val="00D14342"/>
    <w:rsid w:val="00D144D9"/>
    <w:rsid w:val="00D16B8F"/>
    <w:rsid w:val="00D170F7"/>
    <w:rsid w:val="00D17479"/>
    <w:rsid w:val="00D203BD"/>
    <w:rsid w:val="00D2095D"/>
    <w:rsid w:val="00D20CFF"/>
    <w:rsid w:val="00D21088"/>
    <w:rsid w:val="00D21330"/>
    <w:rsid w:val="00D2143B"/>
    <w:rsid w:val="00D21F32"/>
    <w:rsid w:val="00D2212A"/>
    <w:rsid w:val="00D2322E"/>
    <w:rsid w:val="00D237BF"/>
    <w:rsid w:val="00D23F99"/>
    <w:rsid w:val="00D2419D"/>
    <w:rsid w:val="00D2489C"/>
    <w:rsid w:val="00D27883"/>
    <w:rsid w:val="00D303BB"/>
    <w:rsid w:val="00D3050C"/>
    <w:rsid w:val="00D30806"/>
    <w:rsid w:val="00D30893"/>
    <w:rsid w:val="00D30AB7"/>
    <w:rsid w:val="00D30E14"/>
    <w:rsid w:val="00D31259"/>
    <w:rsid w:val="00D31BED"/>
    <w:rsid w:val="00D31CDB"/>
    <w:rsid w:val="00D31D27"/>
    <w:rsid w:val="00D32152"/>
    <w:rsid w:val="00D323C8"/>
    <w:rsid w:val="00D32C81"/>
    <w:rsid w:val="00D33161"/>
    <w:rsid w:val="00D33956"/>
    <w:rsid w:val="00D33ACF"/>
    <w:rsid w:val="00D34A37"/>
    <w:rsid w:val="00D35127"/>
    <w:rsid w:val="00D351E1"/>
    <w:rsid w:val="00D353B9"/>
    <w:rsid w:val="00D35961"/>
    <w:rsid w:val="00D36170"/>
    <w:rsid w:val="00D36BB3"/>
    <w:rsid w:val="00D36F3C"/>
    <w:rsid w:val="00D370A0"/>
    <w:rsid w:val="00D37258"/>
    <w:rsid w:val="00D3725D"/>
    <w:rsid w:val="00D373C5"/>
    <w:rsid w:val="00D37639"/>
    <w:rsid w:val="00D37804"/>
    <w:rsid w:val="00D37819"/>
    <w:rsid w:val="00D37911"/>
    <w:rsid w:val="00D37ABF"/>
    <w:rsid w:val="00D408B0"/>
    <w:rsid w:val="00D40952"/>
    <w:rsid w:val="00D40CF0"/>
    <w:rsid w:val="00D40DA5"/>
    <w:rsid w:val="00D4126F"/>
    <w:rsid w:val="00D412FA"/>
    <w:rsid w:val="00D41871"/>
    <w:rsid w:val="00D418E4"/>
    <w:rsid w:val="00D419A6"/>
    <w:rsid w:val="00D41AC7"/>
    <w:rsid w:val="00D41C0B"/>
    <w:rsid w:val="00D426E9"/>
    <w:rsid w:val="00D427A7"/>
    <w:rsid w:val="00D42DCC"/>
    <w:rsid w:val="00D43A17"/>
    <w:rsid w:val="00D43C20"/>
    <w:rsid w:val="00D44D39"/>
    <w:rsid w:val="00D44F56"/>
    <w:rsid w:val="00D45598"/>
    <w:rsid w:val="00D468BC"/>
    <w:rsid w:val="00D46ECF"/>
    <w:rsid w:val="00D4740B"/>
    <w:rsid w:val="00D47A06"/>
    <w:rsid w:val="00D5011E"/>
    <w:rsid w:val="00D5056C"/>
    <w:rsid w:val="00D510D8"/>
    <w:rsid w:val="00D51306"/>
    <w:rsid w:val="00D515C3"/>
    <w:rsid w:val="00D532AF"/>
    <w:rsid w:val="00D53544"/>
    <w:rsid w:val="00D53746"/>
    <w:rsid w:val="00D53E80"/>
    <w:rsid w:val="00D54330"/>
    <w:rsid w:val="00D5489C"/>
    <w:rsid w:val="00D5623A"/>
    <w:rsid w:val="00D5642D"/>
    <w:rsid w:val="00D568AD"/>
    <w:rsid w:val="00D56B2E"/>
    <w:rsid w:val="00D56E21"/>
    <w:rsid w:val="00D575C5"/>
    <w:rsid w:val="00D577B0"/>
    <w:rsid w:val="00D57D17"/>
    <w:rsid w:val="00D600A7"/>
    <w:rsid w:val="00D60808"/>
    <w:rsid w:val="00D60E8C"/>
    <w:rsid w:val="00D61245"/>
    <w:rsid w:val="00D61921"/>
    <w:rsid w:val="00D62549"/>
    <w:rsid w:val="00D629D5"/>
    <w:rsid w:val="00D62B97"/>
    <w:rsid w:val="00D6322D"/>
    <w:rsid w:val="00D63F38"/>
    <w:rsid w:val="00D658C0"/>
    <w:rsid w:val="00D658E5"/>
    <w:rsid w:val="00D65F28"/>
    <w:rsid w:val="00D66E8E"/>
    <w:rsid w:val="00D66F38"/>
    <w:rsid w:val="00D66F56"/>
    <w:rsid w:val="00D6731E"/>
    <w:rsid w:val="00D675EC"/>
    <w:rsid w:val="00D67813"/>
    <w:rsid w:val="00D67A37"/>
    <w:rsid w:val="00D7023A"/>
    <w:rsid w:val="00D70898"/>
    <w:rsid w:val="00D70A44"/>
    <w:rsid w:val="00D70DEF"/>
    <w:rsid w:val="00D70FD6"/>
    <w:rsid w:val="00D715B7"/>
    <w:rsid w:val="00D719E7"/>
    <w:rsid w:val="00D71A2A"/>
    <w:rsid w:val="00D72693"/>
    <w:rsid w:val="00D729C7"/>
    <w:rsid w:val="00D72F77"/>
    <w:rsid w:val="00D73020"/>
    <w:rsid w:val="00D739A2"/>
    <w:rsid w:val="00D7426E"/>
    <w:rsid w:val="00D74383"/>
    <w:rsid w:val="00D7473F"/>
    <w:rsid w:val="00D748BE"/>
    <w:rsid w:val="00D7490F"/>
    <w:rsid w:val="00D74987"/>
    <w:rsid w:val="00D74F32"/>
    <w:rsid w:val="00D75041"/>
    <w:rsid w:val="00D75D9D"/>
    <w:rsid w:val="00D767DD"/>
    <w:rsid w:val="00D7694E"/>
    <w:rsid w:val="00D76C99"/>
    <w:rsid w:val="00D76D0D"/>
    <w:rsid w:val="00D76F0F"/>
    <w:rsid w:val="00D800AC"/>
    <w:rsid w:val="00D806F2"/>
    <w:rsid w:val="00D80A71"/>
    <w:rsid w:val="00D81122"/>
    <w:rsid w:val="00D8152D"/>
    <w:rsid w:val="00D819C0"/>
    <w:rsid w:val="00D81C39"/>
    <w:rsid w:val="00D81D3A"/>
    <w:rsid w:val="00D825C1"/>
    <w:rsid w:val="00D83087"/>
    <w:rsid w:val="00D83191"/>
    <w:rsid w:val="00D836AB"/>
    <w:rsid w:val="00D8397E"/>
    <w:rsid w:val="00D83D08"/>
    <w:rsid w:val="00D83DCC"/>
    <w:rsid w:val="00D84A3D"/>
    <w:rsid w:val="00D84D26"/>
    <w:rsid w:val="00D8534A"/>
    <w:rsid w:val="00D86E0E"/>
    <w:rsid w:val="00D8720A"/>
    <w:rsid w:val="00D8736A"/>
    <w:rsid w:val="00D877AC"/>
    <w:rsid w:val="00D87A0D"/>
    <w:rsid w:val="00D87AEA"/>
    <w:rsid w:val="00D87F07"/>
    <w:rsid w:val="00D90433"/>
    <w:rsid w:val="00D908AB"/>
    <w:rsid w:val="00D90ABF"/>
    <w:rsid w:val="00D90C34"/>
    <w:rsid w:val="00D90E3B"/>
    <w:rsid w:val="00D90ED9"/>
    <w:rsid w:val="00D91AE4"/>
    <w:rsid w:val="00D924B3"/>
    <w:rsid w:val="00D945AE"/>
    <w:rsid w:val="00D94BA2"/>
    <w:rsid w:val="00D94D39"/>
    <w:rsid w:val="00D9557C"/>
    <w:rsid w:val="00D95581"/>
    <w:rsid w:val="00D956F2"/>
    <w:rsid w:val="00D95861"/>
    <w:rsid w:val="00D95ECF"/>
    <w:rsid w:val="00D96160"/>
    <w:rsid w:val="00D963A4"/>
    <w:rsid w:val="00D965CB"/>
    <w:rsid w:val="00D96896"/>
    <w:rsid w:val="00D96BF9"/>
    <w:rsid w:val="00D96DD3"/>
    <w:rsid w:val="00D974A9"/>
    <w:rsid w:val="00D974ED"/>
    <w:rsid w:val="00D976BF"/>
    <w:rsid w:val="00D97872"/>
    <w:rsid w:val="00DA0022"/>
    <w:rsid w:val="00DA052A"/>
    <w:rsid w:val="00DA09D6"/>
    <w:rsid w:val="00DA1589"/>
    <w:rsid w:val="00DA17D2"/>
    <w:rsid w:val="00DA2686"/>
    <w:rsid w:val="00DA3A08"/>
    <w:rsid w:val="00DA416C"/>
    <w:rsid w:val="00DA4AF6"/>
    <w:rsid w:val="00DA4DAE"/>
    <w:rsid w:val="00DA681F"/>
    <w:rsid w:val="00DA6BFD"/>
    <w:rsid w:val="00DA7044"/>
    <w:rsid w:val="00DA77DA"/>
    <w:rsid w:val="00DA7A7D"/>
    <w:rsid w:val="00DB0737"/>
    <w:rsid w:val="00DB0E93"/>
    <w:rsid w:val="00DB0FBE"/>
    <w:rsid w:val="00DB0FCF"/>
    <w:rsid w:val="00DB117E"/>
    <w:rsid w:val="00DB2635"/>
    <w:rsid w:val="00DB3303"/>
    <w:rsid w:val="00DB4873"/>
    <w:rsid w:val="00DB4D43"/>
    <w:rsid w:val="00DB570E"/>
    <w:rsid w:val="00DB5E63"/>
    <w:rsid w:val="00DB61BB"/>
    <w:rsid w:val="00DB6CE9"/>
    <w:rsid w:val="00DB788D"/>
    <w:rsid w:val="00DB7938"/>
    <w:rsid w:val="00DB7A39"/>
    <w:rsid w:val="00DB7D64"/>
    <w:rsid w:val="00DC09AF"/>
    <w:rsid w:val="00DC0D11"/>
    <w:rsid w:val="00DC0D60"/>
    <w:rsid w:val="00DC0F51"/>
    <w:rsid w:val="00DC1B66"/>
    <w:rsid w:val="00DC1C79"/>
    <w:rsid w:val="00DC200A"/>
    <w:rsid w:val="00DC2130"/>
    <w:rsid w:val="00DC25BE"/>
    <w:rsid w:val="00DC281E"/>
    <w:rsid w:val="00DC33B4"/>
    <w:rsid w:val="00DC344C"/>
    <w:rsid w:val="00DC420B"/>
    <w:rsid w:val="00DC4329"/>
    <w:rsid w:val="00DC46CB"/>
    <w:rsid w:val="00DC6397"/>
    <w:rsid w:val="00DC64F6"/>
    <w:rsid w:val="00DC6661"/>
    <w:rsid w:val="00DC6DB0"/>
    <w:rsid w:val="00DC73DA"/>
    <w:rsid w:val="00DD07D1"/>
    <w:rsid w:val="00DD1259"/>
    <w:rsid w:val="00DD12B2"/>
    <w:rsid w:val="00DD17BA"/>
    <w:rsid w:val="00DD1994"/>
    <w:rsid w:val="00DD1D1E"/>
    <w:rsid w:val="00DD1DD1"/>
    <w:rsid w:val="00DD2455"/>
    <w:rsid w:val="00DD24CD"/>
    <w:rsid w:val="00DD2B65"/>
    <w:rsid w:val="00DD2C1A"/>
    <w:rsid w:val="00DD2C38"/>
    <w:rsid w:val="00DD316C"/>
    <w:rsid w:val="00DD3A55"/>
    <w:rsid w:val="00DD3D54"/>
    <w:rsid w:val="00DD447B"/>
    <w:rsid w:val="00DD4648"/>
    <w:rsid w:val="00DD481F"/>
    <w:rsid w:val="00DD4AD1"/>
    <w:rsid w:val="00DD5298"/>
    <w:rsid w:val="00DD5780"/>
    <w:rsid w:val="00DD5891"/>
    <w:rsid w:val="00DD6CCE"/>
    <w:rsid w:val="00DD7681"/>
    <w:rsid w:val="00DD781D"/>
    <w:rsid w:val="00DE002D"/>
    <w:rsid w:val="00DE019C"/>
    <w:rsid w:val="00DE06EC"/>
    <w:rsid w:val="00DE09DF"/>
    <w:rsid w:val="00DE0CCF"/>
    <w:rsid w:val="00DE0EA0"/>
    <w:rsid w:val="00DE1704"/>
    <w:rsid w:val="00DE2149"/>
    <w:rsid w:val="00DE24DC"/>
    <w:rsid w:val="00DE2B43"/>
    <w:rsid w:val="00DE2DD9"/>
    <w:rsid w:val="00DE30F6"/>
    <w:rsid w:val="00DE389F"/>
    <w:rsid w:val="00DE434F"/>
    <w:rsid w:val="00DE43E9"/>
    <w:rsid w:val="00DE44DE"/>
    <w:rsid w:val="00DE5A1D"/>
    <w:rsid w:val="00DE5B8A"/>
    <w:rsid w:val="00DE72BA"/>
    <w:rsid w:val="00DE77FC"/>
    <w:rsid w:val="00DE7C13"/>
    <w:rsid w:val="00DE7C3C"/>
    <w:rsid w:val="00DF16C4"/>
    <w:rsid w:val="00DF1834"/>
    <w:rsid w:val="00DF1A51"/>
    <w:rsid w:val="00DF1BBC"/>
    <w:rsid w:val="00DF273A"/>
    <w:rsid w:val="00DF2882"/>
    <w:rsid w:val="00DF2F05"/>
    <w:rsid w:val="00DF2FE2"/>
    <w:rsid w:val="00DF32FE"/>
    <w:rsid w:val="00DF3831"/>
    <w:rsid w:val="00DF4194"/>
    <w:rsid w:val="00DF4616"/>
    <w:rsid w:val="00DF4ACE"/>
    <w:rsid w:val="00DF4FC5"/>
    <w:rsid w:val="00DF5D0C"/>
    <w:rsid w:val="00DF6613"/>
    <w:rsid w:val="00DF67CF"/>
    <w:rsid w:val="00DF6F3F"/>
    <w:rsid w:val="00DF7D88"/>
    <w:rsid w:val="00DF7ED6"/>
    <w:rsid w:val="00DF7FF6"/>
    <w:rsid w:val="00E003CE"/>
    <w:rsid w:val="00E01362"/>
    <w:rsid w:val="00E013D6"/>
    <w:rsid w:val="00E01ED7"/>
    <w:rsid w:val="00E027AE"/>
    <w:rsid w:val="00E02A7A"/>
    <w:rsid w:val="00E03662"/>
    <w:rsid w:val="00E03720"/>
    <w:rsid w:val="00E03FE7"/>
    <w:rsid w:val="00E042EA"/>
    <w:rsid w:val="00E04DC0"/>
    <w:rsid w:val="00E04DF9"/>
    <w:rsid w:val="00E05599"/>
    <w:rsid w:val="00E05C5D"/>
    <w:rsid w:val="00E06964"/>
    <w:rsid w:val="00E072BE"/>
    <w:rsid w:val="00E0761B"/>
    <w:rsid w:val="00E07A52"/>
    <w:rsid w:val="00E10732"/>
    <w:rsid w:val="00E10D09"/>
    <w:rsid w:val="00E10D6E"/>
    <w:rsid w:val="00E10EF6"/>
    <w:rsid w:val="00E11036"/>
    <w:rsid w:val="00E11493"/>
    <w:rsid w:val="00E11BD2"/>
    <w:rsid w:val="00E11D0D"/>
    <w:rsid w:val="00E11EE7"/>
    <w:rsid w:val="00E1245E"/>
    <w:rsid w:val="00E12978"/>
    <w:rsid w:val="00E12B11"/>
    <w:rsid w:val="00E1314B"/>
    <w:rsid w:val="00E14185"/>
    <w:rsid w:val="00E144BA"/>
    <w:rsid w:val="00E16679"/>
    <w:rsid w:val="00E17E0B"/>
    <w:rsid w:val="00E2031A"/>
    <w:rsid w:val="00E20611"/>
    <w:rsid w:val="00E20B03"/>
    <w:rsid w:val="00E20C94"/>
    <w:rsid w:val="00E20DB6"/>
    <w:rsid w:val="00E217A0"/>
    <w:rsid w:val="00E21D15"/>
    <w:rsid w:val="00E224CB"/>
    <w:rsid w:val="00E22B98"/>
    <w:rsid w:val="00E22F9A"/>
    <w:rsid w:val="00E2366F"/>
    <w:rsid w:val="00E23838"/>
    <w:rsid w:val="00E23D46"/>
    <w:rsid w:val="00E24062"/>
    <w:rsid w:val="00E251B8"/>
    <w:rsid w:val="00E25C02"/>
    <w:rsid w:val="00E25C58"/>
    <w:rsid w:val="00E26261"/>
    <w:rsid w:val="00E26A6A"/>
    <w:rsid w:val="00E27ED2"/>
    <w:rsid w:val="00E3074F"/>
    <w:rsid w:val="00E30755"/>
    <w:rsid w:val="00E30F92"/>
    <w:rsid w:val="00E312CF"/>
    <w:rsid w:val="00E314CB"/>
    <w:rsid w:val="00E31998"/>
    <w:rsid w:val="00E31BD6"/>
    <w:rsid w:val="00E31E10"/>
    <w:rsid w:val="00E3297C"/>
    <w:rsid w:val="00E329E7"/>
    <w:rsid w:val="00E32BF2"/>
    <w:rsid w:val="00E331C7"/>
    <w:rsid w:val="00E33523"/>
    <w:rsid w:val="00E33546"/>
    <w:rsid w:val="00E339B0"/>
    <w:rsid w:val="00E33A6F"/>
    <w:rsid w:val="00E33B98"/>
    <w:rsid w:val="00E34508"/>
    <w:rsid w:val="00E34EAC"/>
    <w:rsid w:val="00E34F0D"/>
    <w:rsid w:val="00E354DD"/>
    <w:rsid w:val="00E3696E"/>
    <w:rsid w:val="00E36BA7"/>
    <w:rsid w:val="00E374E3"/>
    <w:rsid w:val="00E378AB"/>
    <w:rsid w:val="00E379A3"/>
    <w:rsid w:val="00E37DA2"/>
    <w:rsid w:val="00E40424"/>
    <w:rsid w:val="00E40516"/>
    <w:rsid w:val="00E40AA1"/>
    <w:rsid w:val="00E40AFB"/>
    <w:rsid w:val="00E411F8"/>
    <w:rsid w:val="00E41999"/>
    <w:rsid w:val="00E41DA8"/>
    <w:rsid w:val="00E41DD3"/>
    <w:rsid w:val="00E41F52"/>
    <w:rsid w:val="00E4211F"/>
    <w:rsid w:val="00E42768"/>
    <w:rsid w:val="00E42FCA"/>
    <w:rsid w:val="00E43886"/>
    <w:rsid w:val="00E4478F"/>
    <w:rsid w:val="00E44A10"/>
    <w:rsid w:val="00E4593F"/>
    <w:rsid w:val="00E45941"/>
    <w:rsid w:val="00E459BB"/>
    <w:rsid w:val="00E45A22"/>
    <w:rsid w:val="00E4600C"/>
    <w:rsid w:val="00E463FC"/>
    <w:rsid w:val="00E46471"/>
    <w:rsid w:val="00E465D5"/>
    <w:rsid w:val="00E4699C"/>
    <w:rsid w:val="00E46BA8"/>
    <w:rsid w:val="00E478AB"/>
    <w:rsid w:val="00E47D18"/>
    <w:rsid w:val="00E50226"/>
    <w:rsid w:val="00E5033F"/>
    <w:rsid w:val="00E50A41"/>
    <w:rsid w:val="00E52FEE"/>
    <w:rsid w:val="00E530B9"/>
    <w:rsid w:val="00E5326B"/>
    <w:rsid w:val="00E54374"/>
    <w:rsid w:val="00E55086"/>
    <w:rsid w:val="00E554FD"/>
    <w:rsid w:val="00E5567D"/>
    <w:rsid w:val="00E564B1"/>
    <w:rsid w:val="00E565EE"/>
    <w:rsid w:val="00E56BB2"/>
    <w:rsid w:val="00E57905"/>
    <w:rsid w:val="00E601BA"/>
    <w:rsid w:val="00E60493"/>
    <w:rsid w:val="00E61216"/>
    <w:rsid w:val="00E613A1"/>
    <w:rsid w:val="00E61797"/>
    <w:rsid w:val="00E61CFF"/>
    <w:rsid w:val="00E61D6D"/>
    <w:rsid w:val="00E61F59"/>
    <w:rsid w:val="00E62069"/>
    <w:rsid w:val="00E626F5"/>
    <w:rsid w:val="00E62755"/>
    <w:rsid w:val="00E62895"/>
    <w:rsid w:val="00E62DCE"/>
    <w:rsid w:val="00E638D4"/>
    <w:rsid w:val="00E63DCC"/>
    <w:rsid w:val="00E6418D"/>
    <w:rsid w:val="00E6448D"/>
    <w:rsid w:val="00E6455A"/>
    <w:rsid w:val="00E64CEB"/>
    <w:rsid w:val="00E6573A"/>
    <w:rsid w:val="00E658A4"/>
    <w:rsid w:val="00E66A4A"/>
    <w:rsid w:val="00E66B63"/>
    <w:rsid w:val="00E6708B"/>
    <w:rsid w:val="00E672BE"/>
    <w:rsid w:val="00E678FD"/>
    <w:rsid w:val="00E67A69"/>
    <w:rsid w:val="00E67ABD"/>
    <w:rsid w:val="00E67B68"/>
    <w:rsid w:val="00E67FE8"/>
    <w:rsid w:val="00E70B33"/>
    <w:rsid w:val="00E70D27"/>
    <w:rsid w:val="00E70FAF"/>
    <w:rsid w:val="00E7151F"/>
    <w:rsid w:val="00E71797"/>
    <w:rsid w:val="00E71C06"/>
    <w:rsid w:val="00E71C7F"/>
    <w:rsid w:val="00E721BA"/>
    <w:rsid w:val="00E72E62"/>
    <w:rsid w:val="00E73B1B"/>
    <w:rsid w:val="00E74D51"/>
    <w:rsid w:val="00E74F53"/>
    <w:rsid w:val="00E74F9A"/>
    <w:rsid w:val="00E74FF7"/>
    <w:rsid w:val="00E753D8"/>
    <w:rsid w:val="00E75503"/>
    <w:rsid w:val="00E75972"/>
    <w:rsid w:val="00E75E10"/>
    <w:rsid w:val="00E7620C"/>
    <w:rsid w:val="00E76DA2"/>
    <w:rsid w:val="00E76DF0"/>
    <w:rsid w:val="00E7755F"/>
    <w:rsid w:val="00E80B57"/>
    <w:rsid w:val="00E80E11"/>
    <w:rsid w:val="00E812AE"/>
    <w:rsid w:val="00E813B7"/>
    <w:rsid w:val="00E8163F"/>
    <w:rsid w:val="00E8166C"/>
    <w:rsid w:val="00E81762"/>
    <w:rsid w:val="00E81C75"/>
    <w:rsid w:val="00E82142"/>
    <w:rsid w:val="00E8253A"/>
    <w:rsid w:val="00E82EF5"/>
    <w:rsid w:val="00E834B3"/>
    <w:rsid w:val="00E84071"/>
    <w:rsid w:val="00E84682"/>
    <w:rsid w:val="00E854DA"/>
    <w:rsid w:val="00E8593A"/>
    <w:rsid w:val="00E85E6B"/>
    <w:rsid w:val="00E8613F"/>
    <w:rsid w:val="00E86807"/>
    <w:rsid w:val="00E869C6"/>
    <w:rsid w:val="00E86DD2"/>
    <w:rsid w:val="00E87016"/>
    <w:rsid w:val="00E8714A"/>
    <w:rsid w:val="00E87306"/>
    <w:rsid w:val="00E87560"/>
    <w:rsid w:val="00E90804"/>
    <w:rsid w:val="00E9175B"/>
    <w:rsid w:val="00E93853"/>
    <w:rsid w:val="00E93973"/>
    <w:rsid w:val="00E93A9A"/>
    <w:rsid w:val="00E940D6"/>
    <w:rsid w:val="00E9424B"/>
    <w:rsid w:val="00E949C2"/>
    <w:rsid w:val="00E94C0A"/>
    <w:rsid w:val="00E95063"/>
    <w:rsid w:val="00E9515D"/>
    <w:rsid w:val="00E95CBC"/>
    <w:rsid w:val="00E9635B"/>
    <w:rsid w:val="00E967AC"/>
    <w:rsid w:val="00E96B9A"/>
    <w:rsid w:val="00E96FEC"/>
    <w:rsid w:val="00E97084"/>
    <w:rsid w:val="00E976C4"/>
    <w:rsid w:val="00E97862"/>
    <w:rsid w:val="00EA0139"/>
    <w:rsid w:val="00EA11C4"/>
    <w:rsid w:val="00EA1490"/>
    <w:rsid w:val="00EA1E2A"/>
    <w:rsid w:val="00EA20E2"/>
    <w:rsid w:val="00EA26EA"/>
    <w:rsid w:val="00EA27FB"/>
    <w:rsid w:val="00EA2A72"/>
    <w:rsid w:val="00EA30D2"/>
    <w:rsid w:val="00EA3C6E"/>
    <w:rsid w:val="00EA563A"/>
    <w:rsid w:val="00EA60AC"/>
    <w:rsid w:val="00EA6AFA"/>
    <w:rsid w:val="00EA6FED"/>
    <w:rsid w:val="00EA73AC"/>
    <w:rsid w:val="00EA769C"/>
    <w:rsid w:val="00EB050D"/>
    <w:rsid w:val="00EB0C1D"/>
    <w:rsid w:val="00EB0DC9"/>
    <w:rsid w:val="00EB0EB0"/>
    <w:rsid w:val="00EB1511"/>
    <w:rsid w:val="00EB1728"/>
    <w:rsid w:val="00EB1D63"/>
    <w:rsid w:val="00EB23F8"/>
    <w:rsid w:val="00EB24F0"/>
    <w:rsid w:val="00EB31F0"/>
    <w:rsid w:val="00EB49C6"/>
    <w:rsid w:val="00EB4AFA"/>
    <w:rsid w:val="00EB4D17"/>
    <w:rsid w:val="00EB500B"/>
    <w:rsid w:val="00EB564D"/>
    <w:rsid w:val="00EB57A4"/>
    <w:rsid w:val="00EB5DBC"/>
    <w:rsid w:val="00EB6738"/>
    <w:rsid w:val="00EB680C"/>
    <w:rsid w:val="00EB6A3E"/>
    <w:rsid w:val="00EB7A20"/>
    <w:rsid w:val="00EB7C74"/>
    <w:rsid w:val="00EB7CE7"/>
    <w:rsid w:val="00EC005D"/>
    <w:rsid w:val="00EC00E5"/>
    <w:rsid w:val="00EC01C4"/>
    <w:rsid w:val="00EC05F4"/>
    <w:rsid w:val="00EC0946"/>
    <w:rsid w:val="00EC0F8F"/>
    <w:rsid w:val="00EC1631"/>
    <w:rsid w:val="00EC1774"/>
    <w:rsid w:val="00EC18C7"/>
    <w:rsid w:val="00EC1E1A"/>
    <w:rsid w:val="00EC1E47"/>
    <w:rsid w:val="00EC1F1D"/>
    <w:rsid w:val="00EC1F27"/>
    <w:rsid w:val="00EC2DA7"/>
    <w:rsid w:val="00EC3428"/>
    <w:rsid w:val="00EC37B2"/>
    <w:rsid w:val="00EC37DE"/>
    <w:rsid w:val="00EC4CC1"/>
    <w:rsid w:val="00EC556D"/>
    <w:rsid w:val="00EC569F"/>
    <w:rsid w:val="00EC57A2"/>
    <w:rsid w:val="00EC59A6"/>
    <w:rsid w:val="00EC6957"/>
    <w:rsid w:val="00EC7195"/>
    <w:rsid w:val="00EC7775"/>
    <w:rsid w:val="00EC799E"/>
    <w:rsid w:val="00EC7FC6"/>
    <w:rsid w:val="00ED0220"/>
    <w:rsid w:val="00ED02C9"/>
    <w:rsid w:val="00ED0630"/>
    <w:rsid w:val="00ED0A69"/>
    <w:rsid w:val="00ED0CBC"/>
    <w:rsid w:val="00ED1080"/>
    <w:rsid w:val="00ED1738"/>
    <w:rsid w:val="00ED1ACD"/>
    <w:rsid w:val="00ED1B87"/>
    <w:rsid w:val="00ED2F5A"/>
    <w:rsid w:val="00ED2FDF"/>
    <w:rsid w:val="00ED306D"/>
    <w:rsid w:val="00ED3124"/>
    <w:rsid w:val="00ED31AA"/>
    <w:rsid w:val="00ED327D"/>
    <w:rsid w:val="00ED3720"/>
    <w:rsid w:val="00ED3E70"/>
    <w:rsid w:val="00ED45A5"/>
    <w:rsid w:val="00ED476C"/>
    <w:rsid w:val="00ED4BC8"/>
    <w:rsid w:val="00ED4C92"/>
    <w:rsid w:val="00ED5393"/>
    <w:rsid w:val="00ED55D0"/>
    <w:rsid w:val="00ED5EEC"/>
    <w:rsid w:val="00ED5F71"/>
    <w:rsid w:val="00ED691A"/>
    <w:rsid w:val="00ED6D34"/>
    <w:rsid w:val="00ED6D42"/>
    <w:rsid w:val="00ED73AB"/>
    <w:rsid w:val="00ED7C3F"/>
    <w:rsid w:val="00ED7C74"/>
    <w:rsid w:val="00EE139B"/>
    <w:rsid w:val="00EE1445"/>
    <w:rsid w:val="00EE1632"/>
    <w:rsid w:val="00EE1652"/>
    <w:rsid w:val="00EE1B84"/>
    <w:rsid w:val="00EE1BA4"/>
    <w:rsid w:val="00EE26C7"/>
    <w:rsid w:val="00EE36C1"/>
    <w:rsid w:val="00EE38FD"/>
    <w:rsid w:val="00EE393B"/>
    <w:rsid w:val="00EE419B"/>
    <w:rsid w:val="00EE43FC"/>
    <w:rsid w:val="00EE5667"/>
    <w:rsid w:val="00EE7644"/>
    <w:rsid w:val="00EE780F"/>
    <w:rsid w:val="00EE797B"/>
    <w:rsid w:val="00EF057A"/>
    <w:rsid w:val="00EF05AC"/>
    <w:rsid w:val="00EF0A3A"/>
    <w:rsid w:val="00EF0D97"/>
    <w:rsid w:val="00EF155A"/>
    <w:rsid w:val="00EF1C0A"/>
    <w:rsid w:val="00EF1D84"/>
    <w:rsid w:val="00EF20F8"/>
    <w:rsid w:val="00EF273D"/>
    <w:rsid w:val="00EF2A19"/>
    <w:rsid w:val="00EF36D6"/>
    <w:rsid w:val="00EF3E7C"/>
    <w:rsid w:val="00EF41BB"/>
    <w:rsid w:val="00EF495F"/>
    <w:rsid w:val="00EF4CAB"/>
    <w:rsid w:val="00EF6059"/>
    <w:rsid w:val="00EF65AF"/>
    <w:rsid w:val="00EF665E"/>
    <w:rsid w:val="00EF667C"/>
    <w:rsid w:val="00EF6D0F"/>
    <w:rsid w:val="00EF6EFE"/>
    <w:rsid w:val="00EF7161"/>
    <w:rsid w:val="00EF78BC"/>
    <w:rsid w:val="00F0031C"/>
    <w:rsid w:val="00F009BD"/>
    <w:rsid w:val="00F009FD"/>
    <w:rsid w:val="00F01C87"/>
    <w:rsid w:val="00F01FCF"/>
    <w:rsid w:val="00F02B04"/>
    <w:rsid w:val="00F037E1"/>
    <w:rsid w:val="00F03AA1"/>
    <w:rsid w:val="00F03D97"/>
    <w:rsid w:val="00F04004"/>
    <w:rsid w:val="00F040DF"/>
    <w:rsid w:val="00F04124"/>
    <w:rsid w:val="00F0438C"/>
    <w:rsid w:val="00F04607"/>
    <w:rsid w:val="00F0508C"/>
    <w:rsid w:val="00F05632"/>
    <w:rsid w:val="00F056E6"/>
    <w:rsid w:val="00F05F41"/>
    <w:rsid w:val="00F05F8E"/>
    <w:rsid w:val="00F060E3"/>
    <w:rsid w:val="00F063CB"/>
    <w:rsid w:val="00F067F6"/>
    <w:rsid w:val="00F06DF2"/>
    <w:rsid w:val="00F07E3A"/>
    <w:rsid w:val="00F10717"/>
    <w:rsid w:val="00F113B7"/>
    <w:rsid w:val="00F117A8"/>
    <w:rsid w:val="00F12836"/>
    <w:rsid w:val="00F12DA8"/>
    <w:rsid w:val="00F12DC8"/>
    <w:rsid w:val="00F12F0D"/>
    <w:rsid w:val="00F13420"/>
    <w:rsid w:val="00F135E1"/>
    <w:rsid w:val="00F15356"/>
    <w:rsid w:val="00F153B8"/>
    <w:rsid w:val="00F1589A"/>
    <w:rsid w:val="00F159F9"/>
    <w:rsid w:val="00F15E92"/>
    <w:rsid w:val="00F161F4"/>
    <w:rsid w:val="00F16764"/>
    <w:rsid w:val="00F16AB0"/>
    <w:rsid w:val="00F170BD"/>
    <w:rsid w:val="00F17306"/>
    <w:rsid w:val="00F174B5"/>
    <w:rsid w:val="00F20540"/>
    <w:rsid w:val="00F208DC"/>
    <w:rsid w:val="00F21903"/>
    <w:rsid w:val="00F22362"/>
    <w:rsid w:val="00F22ECA"/>
    <w:rsid w:val="00F232B1"/>
    <w:rsid w:val="00F23B3A"/>
    <w:rsid w:val="00F23DCC"/>
    <w:rsid w:val="00F24370"/>
    <w:rsid w:val="00F24986"/>
    <w:rsid w:val="00F24E17"/>
    <w:rsid w:val="00F25A20"/>
    <w:rsid w:val="00F2662C"/>
    <w:rsid w:val="00F26E46"/>
    <w:rsid w:val="00F271EC"/>
    <w:rsid w:val="00F27409"/>
    <w:rsid w:val="00F27F15"/>
    <w:rsid w:val="00F30223"/>
    <w:rsid w:val="00F319C7"/>
    <w:rsid w:val="00F31B06"/>
    <w:rsid w:val="00F31FBB"/>
    <w:rsid w:val="00F32224"/>
    <w:rsid w:val="00F32608"/>
    <w:rsid w:val="00F32E4D"/>
    <w:rsid w:val="00F33699"/>
    <w:rsid w:val="00F34178"/>
    <w:rsid w:val="00F3419B"/>
    <w:rsid w:val="00F347E7"/>
    <w:rsid w:val="00F34A3C"/>
    <w:rsid w:val="00F35317"/>
    <w:rsid w:val="00F3599C"/>
    <w:rsid w:val="00F35CD9"/>
    <w:rsid w:val="00F36FF0"/>
    <w:rsid w:val="00F3706A"/>
    <w:rsid w:val="00F37306"/>
    <w:rsid w:val="00F37AE9"/>
    <w:rsid w:val="00F37B10"/>
    <w:rsid w:val="00F37CD5"/>
    <w:rsid w:val="00F407DC"/>
    <w:rsid w:val="00F40852"/>
    <w:rsid w:val="00F41128"/>
    <w:rsid w:val="00F41459"/>
    <w:rsid w:val="00F41A5D"/>
    <w:rsid w:val="00F4211A"/>
    <w:rsid w:val="00F4297D"/>
    <w:rsid w:val="00F42998"/>
    <w:rsid w:val="00F42FCE"/>
    <w:rsid w:val="00F43284"/>
    <w:rsid w:val="00F4332E"/>
    <w:rsid w:val="00F4342B"/>
    <w:rsid w:val="00F43AD4"/>
    <w:rsid w:val="00F43D2F"/>
    <w:rsid w:val="00F44190"/>
    <w:rsid w:val="00F44962"/>
    <w:rsid w:val="00F45648"/>
    <w:rsid w:val="00F45DE8"/>
    <w:rsid w:val="00F460F5"/>
    <w:rsid w:val="00F46B47"/>
    <w:rsid w:val="00F46C05"/>
    <w:rsid w:val="00F46F26"/>
    <w:rsid w:val="00F47384"/>
    <w:rsid w:val="00F474FF"/>
    <w:rsid w:val="00F4789F"/>
    <w:rsid w:val="00F47B73"/>
    <w:rsid w:val="00F47CDC"/>
    <w:rsid w:val="00F509F4"/>
    <w:rsid w:val="00F5100B"/>
    <w:rsid w:val="00F5201D"/>
    <w:rsid w:val="00F53247"/>
    <w:rsid w:val="00F541B0"/>
    <w:rsid w:val="00F54304"/>
    <w:rsid w:val="00F545F3"/>
    <w:rsid w:val="00F551E1"/>
    <w:rsid w:val="00F5557A"/>
    <w:rsid w:val="00F55A82"/>
    <w:rsid w:val="00F55E3F"/>
    <w:rsid w:val="00F55E87"/>
    <w:rsid w:val="00F55F21"/>
    <w:rsid w:val="00F562D5"/>
    <w:rsid w:val="00F57088"/>
    <w:rsid w:val="00F57715"/>
    <w:rsid w:val="00F6018E"/>
    <w:rsid w:val="00F60318"/>
    <w:rsid w:val="00F60515"/>
    <w:rsid w:val="00F608D5"/>
    <w:rsid w:val="00F60F7D"/>
    <w:rsid w:val="00F60F8B"/>
    <w:rsid w:val="00F61604"/>
    <w:rsid w:val="00F62BDA"/>
    <w:rsid w:val="00F62C8F"/>
    <w:rsid w:val="00F63068"/>
    <w:rsid w:val="00F63466"/>
    <w:rsid w:val="00F64517"/>
    <w:rsid w:val="00F656EC"/>
    <w:rsid w:val="00F65D9B"/>
    <w:rsid w:val="00F662F6"/>
    <w:rsid w:val="00F662F7"/>
    <w:rsid w:val="00F66509"/>
    <w:rsid w:val="00F6674D"/>
    <w:rsid w:val="00F667D1"/>
    <w:rsid w:val="00F66C9B"/>
    <w:rsid w:val="00F677B3"/>
    <w:rsid w:val="00F700AB"/>
    <w:rsid w:val="00F70341"/>
    <w:rsid w:val="00F703CB"/>
    <w:rsid w:val="00F70C78"/>
    <w:rsid w:val="00F71181"/>
    <w:rsid w:val="00F71419"/>
    <w:rsid w:val="00F7181F"/>
    <w:rsid w:val="00F71AD4"/>
    <w:rsid w:val="00F71F62"/>
    <w:rsid w:val="00F724B0"/>
    <w:rsid w:val="00F7279F"/>
    <w:rsid w:val="00F728E3"/>
    <w:rsid w:val="00F729E4"/>
    <w:rsid w:val="00F72FF9"/>
    <w:rsid w:val="00F734F2"/>
    <w:rsid w:val="00F73C1D"/>
    <w:rsid w:val="00F73C61"/>
    <w:rsid w:val="00F73E2D"/>
    <w:rsid w:val="00F74570"/>
    <w:rsid w:val="00F74B70"/>
    <w:rsid w:val="00F74EB9"/>
    <w:rsid w:val="00F753A7"/>
    <w:rsid w:val="00F755F5"/>
    <w:rsid w:val="00F757A0"/>
    <w:rsid w:val="00F7614B"/>
    <w:rsid w:val="00F76EEE"/>
    <w:rsid w:val="00F77639"/>
    <w:rsid w:val="00F77B24"/>
    <w:rsid w:val="00F808FD"/>
    <w:rsid w:val="00F80BFD"/>
    <w:rsid w:val="00F80E14"/>
    <w:rsid w:val="00F815AC"/>
    <w:rsid w:val="00F818E3"/>
    <w:rsid w:val="00F81DA6"/>
    <w:rsid w:val="00F8264F"/>
    <w:rsid w:val="00F82703"/>
    <w:rsid w:val="00F8278B"/>
    <w:rsid w:val="00F82B43"/>
    <w:rsid w:val="00F82C98"/>
    <w:rsid w:val="00F8328B"/>
    <w:rsid w:val="00F83F77"/>
    <w:rsid w:val="00F848F8"/>
    <w:rsid w:val="00F85066"/>
    <w:rsid w:val="00F85E1E"/>
    <w:rsid w:val="00F85F39"/>
    <w:rsid w:val="00F85FD1"/>
    <w:rsid w:val="00F8678F"/>
    <w:rsid w:val="00F869B9"/>
    <w:rsid w:val="00F86B3E"/>
    <w:rsid w:val="00F8754F"/>
    <w:rsid w:val="00F879AF"/>
    <w:rsid w:val="00F87A34"/>
    <w:rsid w:val="00F87BB9"/>
    <w:rsid w:val="00F9130C"/>
    <w:rsid w:val="00F91CAA"/>
    <w:rsid w:val="00F92516"/>
    <w:rsid w:val="00F929CE"/>
    <w:rsid w:val="00F929EF"/>
    <w:rsid w:val="00F92B3D"/>
    <w:rsid w:val="00F92BD7"/>
    <w:rsid w:val="00F931C5"/>
    <w:rsid w:val="00F932F9"/>
    <w:rsid w:val="00F93412"/>
    <w:rsid w:val="00F965E8"/>
    <w:rsid w:val="00F966EC"/>
    <w:rsid w:val="00F96C88"/>
    <w:rsid w:val="00F96DEE"/>
    <w:rsid w:val="00F97511"/>
    <w:rsid w:val="00F97A68"/>
    <w:rsid w:val="00F97B41"/>
    <w:rsid w:val="00F97BC1"/>
    <w:rsid w:val="00FA007A"/>
    <w:rsid w:val="00FA026C"/>
    <w:rsid w:val="00FA03B8"/>
    <w:rsid w:val="00FA1DB6"/>
    <w:rsid w:val="00FA20F8"/>
    <w:rsid w:val="00FA25B7"/>
    <w:rsid w:val="00FA31C7"/>
    <w:rsid w:val="00FA3A8A"/>
    <w:rsid w:val="00FA3B86"/>
    <w:rsid w:val="00FA3C72"/>
    <w:rsid w:val="00FA403B"/>
    <w:rsid w:val="00FA4CEE"/>
    <w:rsid w:val="00FA4EC0"/>
    <w:rsid w:val="00FA5706"/>
    <w:rsid w:val="00FA5E55"/>
    <w:rsid w:val="00FA6CA1"/>
    <w:rsid w:val="00FA793F"/>
    <w:rsid w:val="00FB06D3"/>
    <w:rsid w:val="00FB13C4"/>
    <w:rsid w:val="00FB17EC"/>
    <w:rsid w:val="00FB191B"/>
    <w:rsid w:val="00FB1C79"/>
    <w:rsid w:val="00FB204E"/>
    <w:rsid w:val="00FB2586"/>
    <w:rsid w:val="00FB26D3"/>
    <w:rsid w:val="00FB2853"/>
    <w:rsid w:val="00FB2FC5"/>
    <w:rsid w:val="00FB2FC9"/>
    <w:rsid w:val="00FB34FF"/>
    <w:rsid w:val="00FB390E"/>
    <w:rsid w:val="00FB46CC"/>
    <w:rsid w:val="00FB47D3"/>
    <w:rsid w:val="00FB58BE"/>
    <w:rsid w:val="00FB5A1B"/>
    <w:rsid w:val="00FB5A2E"/>
    <w:rsid w:val="00FB5AE4"/>
    <w:rsid w:val="00FB6563"/>
    <w:rsid w:val="00FB6A39"/>
    <w:rsid w:val="00FB6BE8"/>
    <w:rsid w:val="00FB7455"/>
    <w:rsid w:val="00FB77D0"/>
    <w:rsid w:val="00FC1A27"/>
    <w:rsid w:val="00FC20B0"/>
    <w:rsid w:val="00FC37DF"/>
    <w:rsid w:val="00FC3946"/>
    <w:rsid w:val="00FC3A7E"/>
    <w:rsid w:val="00FC3D36"/>
    <w:rsid w:val="00FC3DE3"/>
    <w:rsid w:val="00FC3E88"/>
    <w:rsid w:val="00FC4087"/>
    <w:rsid w:val="00FC41B1"/>
    <w:rsid w:val="00FC4695"/>
    <w:rsid w:val="00FC473E"/>
    <w:rsid w:val="00FC4A49"/>
    <w:rsid w:val="00FC4D7E"/>
    <w:rsid w:val="00FC5DE4"/>
    <w:rsid w:val="00FC6A0D"/>
    <w:rsid w:val="00FC6A26"/>
    <w:rsid w:val="00FC7CAA"/>
    <w:rsid w:val="00FC7F3F"/>
    <w:rsid w:val="00FD09C2"/>
    <w:rsid w:val="00FD12BD"/>
    <w:rsid w:val="00FD18BE"/>
    <w:rsid w:val="00FD1DCE"/>
    <w:rsid w:val="00FD2B26"/>
    <w:rsid w:val="00FD307C"/>
    <w:rsid w:val="00FD371A"/>
    <w:rsid w:val="00FD3762"/>
    <w:rsid w:val="00FD4331"/>
    <w:rsid w:val="00FD47E8"/>
    <w:rsid w:val="00FD4FD5"/>
    <w:rsid w:val="00FD53D3"/>
    <w:rsid w:val="00FD5773"/>
    <w:rsid w:val="00FD595C"/>
    <w:rsid w:val="00FD6131"/>
    <w:rsid w:val="00FD6189"/>
    <w:rsid w:val="00FD6322"/>
    <w:rsid w:val="00FD6540"/>
    <w:rsid w:val="00FD6A40"/>
    <w:rsid w:val="00FD7B42"/>
    <w:rsid w:val="00FD7D8F"/>
    <w:rsid w:val="00FE0172"/>
    <w:rsid w:val="00FE19E4"/>
    <w:rsid w:val="00FE1A35"/>
    <w:rsid w:val="00FE1F7F"/>
    <w:rsid w:val="00FE29A1"/>
    <w:rsid w:val="00FE3B31"/>
    <w:rsid w:val="00FE42F7"/>
    <w:rsid w:val="00FE4604"/>
    <w:rsid w:val="00FE4896"/>
    <w:rsid w:val="00FE4907"/>
    <w:rsid w:val="00FE493D"/>
    <w:rsid w:val="00FE4D56"/>
    <w:rsid w:val="00FE5183"/>
    <w:rsid w:val="00FE5644"/>
    <w:rsid w:val="00FE56E3"/>
    <w:rsid w:val="00FE588E"/>
    <w:rsid w:val="00FE601A"/>
    <w:rsid w:val="00FE6472"/>
    <w:rsid w:val="00FE76EC"/>
    <w:rsid w:val="00FE77A8"/>
    <w:rsid w:val="00FF0B4C"/>
    <w:rsid w:val="00FF0DA6"/>
    <w:rsid w:val="00FF12A3"/>
    <w:rsid w:val="00FF1B80"/>
    <w:rsid w:val="00FF1F7E"/>
    <w:rsid w:val="00FF243F"/>
    <w:rsid w:val="00FF258E"/>
    <w:rsid w:val="00FF292C"/>
    <w:rsid w:val="00FF2CC2"/>
    <w:rsid w:val="00FF2EF0"/>
    <w:rsid w:val="00FF306F"/>
    <w:rsid w:val="00FF4074"/>
    <w:rsid w:val="00FF4261"/>
    <w:rsid w:val="00FF4747"/>
    <w:rsid w:val="00FF4A39"/>
    <w:rsid w:val="00FF5836"/>
    <w:rsid w:val="00FF5D44"/>
    <w:rsid w:val="00FF5D82"/>
    <w:rsid w:val="00FF60F0"/>
    <w:rsid w:val="00FF6D9B"/>
    <w:rsid w:val="00FF70A8"/>
    <w:rsid w:val="00FF7418"/>
    <w:rsid w:val="00FF7F4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0D0FDB18"/>
  <w15:docId w15:val="{C6084B66-7953-41DD-A05C-B72EC53AD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99"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A86864"/>
    <w:rPr>
      <w:sz w:val="24"/>
      <w:szCs w:val="24"/>
    </w:rPr>
  </w:style>
  <w:style w:type="paragraph" w:styleId="Titolo1">
    <w:name w:val="heading 1"/>
    <w:basedOn w:val="Normale"/>
    <w:next w:val="Normale"/>
    <w:link w:val="Titolo1Carattere"/>
    <w:uiPriority w:val="99"/>
    <w:qFormat/>
    <w:rsid w:val="00FB34FF"/>
    <w:pPr>
      <w:keepNext/>
      <w:spacing w:after="120"/>
      <w:jc w:val="both"/>
      <w:outlineLvl w:val="0"/>
    </w:pPr>
    <w:rPr>
      <w:rFonts w:ascii="Verdana" w:hAnsi="Verdana"/>
      <w:b/>
      <w:bCs/>
      <w:sz w:val="22"/>
    </w:rPr>
  </w:style>
  <w:style w:type="paragraph" w:styleId="Titolo2">
    <w:name w:val="heading 2"/>
    <w:basedOn w:val="Normale"/>
    <w:link w:val="Titolo2Carattere"/>
    <w:uiPriority w:val="99"/>
    <w:qFormat/>
    <w:rsid w:val="00FB34FF"/>
    <w:pPr>
      <w:spacing w:after="120"/>
      <w:outlineLvl w:val="1"/>
    </w:pPr>
    <w:rPr>
      <w:rFonts w:ascii="Verdana" w:hAnsi="Verdana"/>
      <w:bCs/>
      <w:i/>
      <w:sz w:val="21"/>
      <w:szCs w:val="36"/>
    </w:rPr>
  </w:style>
  <w:style w:type="paragraph" w:styleId="Titolo3">
    <w:name w:val="heading 3"/>
    <w:basedOn w:val="Normale"/>
    <w:link w:val="Titolo3Carattere"/>
    <w:uiPriority w:val="99"/>
    <w:qFormat/>
    <w:rsid w:val="00FB34FF"/>
    <w:pPr>
      <w:spacing w:before="100" w:beforeAutospacing="1" w:after="100" w:afterAutospacing="1"/>
      <w:outlineLvl w:val="2"/>
    </w:pPr>
    <w:rPr>
      <w:b/>
      <w:bCs/>
      <w:sz w:val="27"/>
      <w:szCs w:val="27"/>
    </w:rPr>
  </w:style>
  <w:style w:type="paragraph" w:styleId="Titolo4">
    <w:name w:val="heading 4"/>
    <w:basedOn w:val="Normale"/>
    <w:next w:val="Normale"/>
    <w:link w:val="Titolo4Carattere"/>
    <w:uiPriority w:val="99"/>
    <w:qFormat/>
    <w:rsid w:val="0007346F"/>
    <w:pPr>
      <w:keepNext/>
      <w:jc w:val="center"/>
      <w:outlineLvl w:val="3"/>
    </w:pPr>
    <w:rPr>
      <w:rFonts w:ascii="Calibri" w:hAnsi="Calibri"/>
      <w:b/>
      <w:bCs/>
      <w:sz w:val="28"/>
      <w:szCs w:val="28"/>
    </w:rPr>
  </w:style>
  <w:style w:type="paragraph" w:styleId="Titolo5">
    <w:name w:val="heading 5"/>
    <w:basedOn w:val="Normale"/>
    <w:next w:val="Normale"/>
    <w:link w:val="Titolo5Carattere"/>
    <w:uiPriority w:val="99"/>
    <w:unhideWhenUsed/>
    <w:qFormat/>
    <w:rsid w:val="0007346F"/>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9"/>
    <w:qFormat/>
    <w:rsid w:val="00FB34FF"/>
    <w:pPr>
      <w:spacing w:before="240" w:after="60"/>
      <w:outlineLvl w:val="5"/>
    </w:pPr>
    <w:rPr>
      <w:b/>
      <w:bCs/>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rsid w:val="00FB34FF"/>
    <w:pPr>
      <w:spacing w:before="100" w:beforeAutospacing="1" w:after="100" w:afterAutospacing="1"/>
    </w:pPr>
  </w:style>
  <w:style w:type="paragraph" w:styleId="Intestazione">
    <w:name w:val="header"/>
    <w:basedOn w:val="Normale"/>
    <w:link w:val="IntestazioneCarattere"/>
    <w:uiPriority w:val="99"/>
    <w:rsid w:val="00FB34FF"/>
    <w:pPr>
      <w:tabs>
        <w:tab w:val="center" w:pos="4819"/>
        <w:tab w:val="right" w:pos="9638"/>
      </w:tabs>
      <w:jc w:val="both"/>
    </w:pPr>
    <w:rPr>
      <w:rFonts w:ascii="Garamond" w:hAnsi="Garamond"/>
      <w:sz w:val="28"/>
    </w:rPr>
  </w:style>
  <w:style w:type="paragraph" w:styleId="Pidipagina">
    <w:name w:val="footer"/>
    <w:basedOn w:val="Normale"/>
    <w:link w:val="PidipaginaCarattere"/>
    <w:uiPriority w:val="99"/>
    <w:rsid w:val="00FB34FF"/>
    <w:pPr>
      <w:tabs>
        <w:tab w:val="center" w:pos="4819"/>
        <w:tab w:val="right" w:pos="9638"/>
      </w:tabs>
      <w:jc w:val="both"/>
    </w:pPr>
    <w:rPr>
      <w:rFonts w:ascii="Garamond" w:hAnsi="Garamond"/>
      <w:sz w:val="28"/>
    </w:rPr>
  </w:style>
  <w:style w:type="character" w:styleId="Numeropagina">
    <w:name w:val="page number"/>
    <w:basedOn w:val="Carpredefinitoparagrafo"/>
    <w:uiPriority w:val="99"/>
    <w:rsid w:val="00FB34FF"/>
  </w:style>
  <w:style w:type="paragraph" w:styleId="Testonotaapidipagina">
    <w:name w:val="footnote text"/>
    <w:basedOn w:val="Normale"/>
    <w:link w:val="TestonotaapidipaginaCarattere"/>
    <w:uiPriority w:val="99"/>
    <w:semiHidden/>
    <w:rsid w:val="00FB34FF"/>
    <w:rPr>
      <w:sz w:val="20"/>
      <w:szCs w:val="20"/>
    </w:rPr>
  </w:style>
  <w:style w:type="character" w:styleId="Rimandonotaapidipagina">
    <w:name w:val="footnote reference"/>
    <w:uiPriority w:val="99"/>
    <w:rsid w:val="00FB34FF"/>
    <w:rPr>
      <w:vertAlign w:val="superscript"/>
    </w:rPr>
  </w:style>
  <w:style w:type="paragraph" w:customStyle="1" w:styleId="vedianche">
    <w:name w:val="vedianche"/>
    <w:basedOn w:val="Normale"/>
    <w:rsid w:val="00FB34FF"/>
    <w:pPr>
      <w:spacing w:before="100" w:beforeAutospacing="1" w:after="100" w:afterAutospacing="1"/>
    </w:pPr>
  </w:style>
  <w:style w:type="character" w:styleId="Collegamentoipertestuale">
    <w:name w:val="Hyperlink"/>
    <w:uiPriority w:val="99"/>
    <w:rsid w:val="00FB34FF"/>
    <w:rPr>
      <w:color w:val="0000FF"/>
      <w:u w:val="single"/>
    </w:rPr>
  </w:style>
  <w:style w:type="paragraph" w:styleId="Rientrocorpodeltesto">
    <w:name w:val="Body Text Indent"/>
    <w:basedOn w:val="Normale"/>
    <w:link w:val="RientrocorpodeltestoCarattere"/>
    <w:uiPriority w:val="99"/>
    <w:rsid w:val="00FB34FF"/>
    <w:pPr>
      <w:spacing w:after="120"/>
      <w:ind w:left="283"/>
      <w:jc w:val="both"/>
    </w:pPr>
    <w:rPr>
      <w:rFonts w:ascii="Verdana" w:hAnsi="Verdana"/>
      <w:sz w:val="22"/>
    </w:rPr>
  </w:style>
  <w:style w:type="paragraph" w:styleId="Corpotesto">
    <w:name w:val="Body Text"/>
    <w:basedOn w:val="Normale"/>
    <w:link w:val="CorpotestoCarattere"/>
    <w:uiPriority w:val="99"/>
    <w:rsid w:val="00FB34FF"/>
    <w:pPr>
      <w:spacing w:line="360" w:lineRule="auto"/>
    </w:pPr>
    <w:rPr>
      <w:rFonts w:ascii="Arial" w:hAnsi="Arial" w:cs="Arial"/>
      <w:b/>
      <w:bCs/>
      <w:szCs w:val="23"/>
    </w:rPr>
  </w:style>
  <w:style w:type="character" w:customStyle="1" w:styleId="apple-style-span">
    <w:name w:val="apple-style-span"/>
    <w:basedOn w:val="Carpredefinitoparagrafo"/>
    <w:rsid w:val="00FB34FF"/>
  </w:style>
  <w:style w:type="paragraph" w:styleId="Corpodeltesto2">
    <w:name w:val="Body Text 2"/>
    <w:basedOn w:val="Normale"/>
    <w:rsid w:val="00FB34FF"/>
    <w:pPr>
      <w:spacing w:after="80" w:line="360" w:lineRule="auto"/>
      <w:jc w:val="both"/>
    </w:pPr>
    <w:rPr>
      <w:rFonts w:ascii="Arial" w:hAnsi="Arial" w:cs="Arial"/>
      <w:sz w:val="23"/>
      <w:szCs w:val="23"/>
    </w:rPr>
  </w:style>
  <w:style w:type="character" w:customStyle="1" w:styleId="apple-converted-space">
    <w:name w:val="apple-converted-space"/>
    <w:basedOn w:val="Carpredefinitoparagrafo"/>
    <w:rsid w:val="00FB34FF"/>
  </w:style>
  <w:style w:type="paragraph" w:styleId="Rientrocorpodeltesto2">
    <w:name w:val="Body Text Indent 2"/>
    <w:basedOn w:val="Normale"/>
    <w:rsid w:val="00FB34FF"/>
    <w:pPr>
      <w:spacing w:after="120"/>
      <w:ind w:left="360"/>
      <w:jc w:val="both"/>
    </w:pPr>
    <w:rPr>
      <w:rFonts w:ascii="Arial" w:hAnsi="Arial" w:cs="Arial"/>
      <w:sz w:val="23"/>
      <w:szCs w:val="23"/>
    </w:rPr>
  </w:style>
  <w:style w:type="paragraph" w:styleId="Rientrocorpodeltesto3">
    <w:name w:val="Body Text Indent 3"/>
    <w:basedOn w:val="Normale"/>
    <w:rsid w:val="00FB34FF"/>
    <w:pPr>
      <w:spacing w:after="120"/>
      <w:ind w:left="540"/>
      <w:jc w:val="both"/>
    </w:pPr>
    <w:rPr>
      <w:rFonts w:ascii="Arial" w:hAnsi="Arial" w:cs="Arial"/>
      <w:sz w:val="23"/>
      <w:szCs w:val="23"/>
    </w:rPr>
  </w:style>
  <w:style w:type="character" w:styleId="Enfasigrassetto">
    <w:name w:val="Strong"/>
    <w:uiPriority w:val="22"/>
    <w:qFormat/>
    <w:rsid w:val="00FB34FF"/>
    <w:rPr>
      <w:b/>
      <w:bCs/>
    </w:rPr>
  </w:style>
  <w:style w:type="character" w:styleId="Enfasicorsivo">
    <w:name w:val="Emphasis"/>
    <w:uiPriority w:val="99"/>
    <w:qFormat/>
    <w:rsid w:val="00FB34FF"/>
    <w:rPr>
      <w:i/>
      <w:iCs/>
    </w:rPr>
  </w:style>
  <w:style w:type="paragraph" w:styleId="Testonormale">
    <w:name w:val="Plain Text"/>
    <w:basedOn w:val="Normale"/>
    <w:link w:val="TestonormaleCarattere"/>
    <w:uiPriority w:val="99"/>
    <w:rsid w:val="00FB34FF"/>
    <w:rPr>
      <w:rFonts w:ascii="Courier New" w:hAnsi="Courier New" w:cs="Courier New"/>
      <w:sz w:val="20"/>
      <w:szCs w:val="20"/>
    </w:rPr>
  </w:style>
  <w:style w:type="paragraph" w:styleId="Corpodeltesto3">
    <w:name w:val="Body Text 3"/>
    <w:basedOn w:val="Normale"/>
    <w:link w:val="Corpodeltesto3Carattere"/>
    <w:uiPriority w:val="99"/>
    <w:rsid w:val="00FB34FF"/>
    <w:pPr>
      <w:spacing w:after="120"/>
    </w:pPr>
    <w:rPr>
      <w:sz w:val="16"/>
      <w:szCs w:val="16"/>
    </w:rPr>
  </w:style>
  <w:style w:type="paragraph" w:customStyle="1" w:styleId="TAVOLARapann">
    <w:name w:val="TAVOLA Rapann"/>
    <w:next w:val="Normale"/>
    <w:link w:val="TAVOLARapannCarattere"/>
    <w:rsid w:val="00FB34FF"/>
    <w:pPr>
      <w:tabs>
        <w:tab w:val="left" w:pos="1276"/>
      </w:tabs>
      <w:spacing w:line="200" w:lineRule="exact"/>
      <w:ind w:left="1276" w:hanging="1276"/>
      <w:jc w:val="both"/>
    </w:pPr>
    <w:rPr>
      <w:rFonts w:ascii="Arial" w:hAnsi="Arial"/>
      <w:b/>
      <w:bCs/>
      <w:sz w:val="18"/>
    </w:rPr>
  </w:style>
  <w:style w:type="character" w:customStyle="1" w:styleId="TAVOLARapannCarattere">
    <w:name w:val="TAVOLA Rapann Carattere"/>
    <w:link w:val="TAVOLARapann"/>
    <w:rsid w:val="00FB34FF"/>
    <w:rPr>
      <w:rFonts w:ascii="Arial" w:hAnsi="Arial"/>
      <w:b/>
      <w:bCs/>
      <w:sz w:val="18"/>
      <w:lang w:val="it-IT" w:eastAsia="it-IT" w:bidi="ar-SA"/>
    </w:rPr>
  </w:style>
  <w:style w:type="paragraph" w:customStyle="1" w:styleId="tesina">
    <w:name w:val="tesina"/>
    <w:basedOn w:val="Normale"/>
    <w:rsid w:val="00FB34FF"/>
    <w:pPr>
      <w:widowControl w:val="0"/>
      <w:autoSpaceDE w:val="0"/>
      <w:autoSpaceDN w:val="0"/>
      <w:adjustRightInd w:val="0"/>
      <w:spacing w:line="285" w:lineRule="atLeast"/>
      <w:ind w:left="390" w:right="390"/>
      <w:jc w:val="both"/>
    </w:pPr>
  </w:style>
  <w:style w:type="paragraph" w:customStyle="1" w:styleId="desc">
    <w:name w:val="desc"/>
    <w:basedOn w:val="Normale"/>
    <w:rsid w:val="00FB34FF"/>
    <w:pPr>
      <w:spacing w:before="100" w:beforeAutospacing="1" w:after="100" w:afterAutospacing="1"/>
    </w:pPr>
  </w:style>
  <w:style w:type="character" w:customStyle="1" w:styleId="glossario">
    <w:name w:val="glossario"/>
    <w:basedOn w:val="Carpredefinitoparagrafo"/>
    <w:rsid w:val="00FB34FF"/>
  </w:style>
  <w:style w:type="paragraph" w:styleId="Testofumetto">
    <w:name w:val="Balloon Text"/>
    <w:basedOn w:val="Normale"/>
    <w:link w:val="TestofumettoCarattere"/>
    <w:uiPriority w:val="99"/>
    <w:rsid w:val="00B506F1"/>
    <w:rPr>
      <w:rFonts w:ascii="Tahoma" w:hAnsi="Tahoma"/>
      <w:sz w:val="16"/>
      <w:szCs w:val="16"/>
      <w:lang w:val="x-none" w:eastAsia="x-none"/>
    </w:rPr>
  </w:style>
  <w:style w:type="character" w:customStyle="1" w:styleId="TestofumettoCarattere">
    <w:name w:val="Testo fumetto Carattere"/>
    <w:link w:val="Testofumetto"/>
    <w:uiPriority w:val="99"/>
    <w:rsid w:val="00B506F1"/>
    <w:rPr>
      <w:rFonts w:ascii="Tahoma" w:hAnsi="Tahoma" w:cs="Tahoma"/>
      <w:sz w:val="16"/>
      <w:szCs w:val="16"/>
    </w:rPr>
  </w:style>
  <w:style w:type="character" w:styleId="Rimandocommento">
    <w:name w:val="annotation reference"/>
    <w:uiPriority w:val="99"/>
    <w:rsid w:val="002A2D78"/>
    <w:rPr>
      <w:sz w:val="16"/>
      <w:szCs w:val="16"/>
    </w:rPr>
  </w:style>
  <w:style w:type="paragraph" w:styleId="Testocommento">
    <w:name w:val="annotation text"/>
    <w:basedOn w:val="Normale"/>
    <w:link w:val="TestocommentoCarattere"/>
    <w:uiPriority w:val="99"/>
    <w:rsid w:val="002A2D78"/>
    <w:rPr>
      <w:sz w:val="20"/>
      <w:szCs w:val="20"/>
    </w:rPr>
  </w:style>
  <w:style w:type="character" w:customStyle="1" w:styleId="TestocommentoCarattere">
    <w:name w:val="Testo commento Carattere"/>
    <w:basedOn w:val="Carpredefinitoparagrafo"/>
    <w:link w:val="Testocommento"/>
    <w:uiPriority w:val="99"/>
    <w:rsid w:val="002A2D78"/>
  </w:style>
  <w:style w:type="paragraph" w:styleId="Soggettocommento">
    <w:name w:val="annotation subject"/>
    <w:basedOn w:val="Testocommento"/>
    <w:next w:val="Testocommento"/>
    <w:link w:val="SoggettocommentoCarattere"/>
    <w:uiPriority w:val="99"/>
    <w:rsid w:val="002A2D78"/>
    <w:rPr>
      <w:b/>
      <w:bCs/>
    </w:rPr>
  </w:style>
  <w:style w:type="character" w:customStyle="1" w:styleId="SoggettocommentoCarattere">
    <w:name w:val="Soggetto commento Carattere"/>
    <w:link w:val="Soggettocommento"/>
    <w:uiPriority w:val="99"/>
    <w:rsid w:val="002A2D78"/>
    <w:rPr>
      <w:b/>
      <w:bCs/>
    </w:rPr>
  </w:style>
  <w:style w:type="paragraph" w:styleId="Paragrafoelenco">
    <w:name w:val="List Paragraph"/>
    <w:basedOn w:val="Normale"/>
    <w:uiPriority w:val="34"/>
    <w:qFormat/>
    <w:rsid w:val="009C4DFF"/>
    <w:pPr>
      <w:ind w:left="720"/>
      <w:contextualSpacing/>
    </w:pPr>
  </w:style>
  <w:style w:type="character" w:customStyle="1" w:styleId="PidipaginaCarattere">
    <w:name w:val="Piè di pagina Carattere"/>
    <w:basedOn w:val="Carpredefinitoparagrafo"/>
    <w:link w:val="Pidipagina"/>
    <w:uiPriority w:val="99"/>
    <w:rsid w:val="00CC37A8"/>
    <w:rPr>
      <w:rFonts w:ascii="Garamond" w:hAnsi="Garamond"/>
      <w:sz w:val="28"/>
      <w:szCs w:val="24"/>
    </w:rPr>
  </w:style>
  <w:style w:type="character" w:customStyle="1" w:styleId="mw-headline">
    <w:name w:val="mw-headline"/>
    <w:basedOn w:val="Carpredefinitoparagrafo"/>
    <w:rsid w:val="00CF66EE"/>
  </w:style>
  <w:style w:type="table" w:styleId="Grigliatabella">
    <w:name w:val="Table Grid"/>
    <w:basedOn w:val="Tabellanormale"/>
    <w:uiPriority w:val="99"/>
    <w:rsid w:val="00614E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e">
    <w:name w:val="Revision"/>
    <w:hidden/>
    <w:uiPriority w:val="99"/>
    <w:semiHidden/>
    <w:rsid w:val="00AB47ED"/>
    <w:rPr>
      <w:sz w:val="24"/>
      <w:szCs w:val="24"/>
    </w:rPr>
  </w:style>
  <w:style w:type="character" w:customStyle="1" w:styleId="IntestazioneCarattere">
    <w:name w:val="Intestazione Carattere"/>
    <w:basedOn w:val="Carpredefinitoparagrafo"/>
    <w:link w:val="Intestazione"/>
    <w:uiPriority w:val="99"/>
    <w:rsid w:val="00DF2FE2"/>
    <w:rPr>
      <w:rFonts w:ascii="Garamond" w:hAnsi="Garamond"/>
      <w:sz w:val="28"/>
      <w:szCs w:val="24"/>
    </w:rPr>
  </w:style>
  <w:style w:type="character" w:customStyle="1" w:styleId="TestonotaapidipaginaCarattere">
    <w:name w:val="Testo nota a piè di pagina Carattere"/>
    <w:basedOn w:val="Carpredefinitoparagrafo"/>
    <w:link w:val="Testonotaapidipagina"/>
    <w:uiPriority w:val="99"/>
    <w:semiHidden/>
    <w:rsid w:val="00DD1259"/>
  </w:style>
  <w:style w:type="paragraph" w:styleId="Testonotadichiusura">
    <w:name w:val="endnote text"/>
    <w:basedOn w:val="Normale"/>
    <w:link w:val="TestonotadichiusuraCarattere"/>
    <w:unhideWhenUsed/>
    <w:rsid w:val="00C91EBC"/>
    <w:rPr>
      <w:sz w:val="20"/>
      <w:szCs w:val="20"/>
    </w:rPr>
  </w:style>
  <w:style w:type="character" w:customStyle="1" w:styleId="TestonotadichiusuraCarattere">
    <w:name w:val="Testo nota di chiusura Carattere"/>
    <w:basedOn w:val="Carpredefinitoparagrafo"/>
    <w:link w:val="Testonotadichiusura"/>
    <w:rsid w:val="00C91EBC"/>
  </w:style>
  <w:style w:type="character" w:styleId="Rimandonotadichiusura">
    <w:name w:val="endnote reference"/>
    <w:basedOn w:val="Carpredefinitoparagrafo"/>
    <w:uiPriority w:val="99"/>
    <w:semiHidden/>
    <w:unhideWhenUsed/>
    <w:rsid w:val="00C91EBC"/>
    <w:rPr>
      <w:vertAlign w:val="superscript"/>
    </w:rPr>
  </w:style>
  <w:style w:type="paragraph" w:customStyle="1" w:styleId="Default">
    <w:name w:val="Default"/>
    <w:rsid w:val="00A2532B"/>
    <w:pPr>
      <w:autoSpaceDE w:val="0"/>
      <w:autoSpaceDN w:val="0"/>
      <w:adjustRightInd w:val="0"/>
    </w:pPr>
    <w:rPr>
      <w:color w:val="000000"/>
      <w:sz w:val="24"/>
      <w:szCs w:val="24"/>
    </w:rPr>
  </w:style>
  <w:style w:type="character" w:customStyle="1" w:styleId="Titolo5Carattere">
    <w:name w:val="Titolo 5 Carattere"/>
    <w:basedOn w:val="Carpredefinitoparagrafo"/>
    <w:link w:val="Titolo5"/>
    <w:uiPriority w:val="99"/>
    <w:semiHidden/>
    <w:rsid w:val="0007346F"/>
    <w:rPr>
      <w:rFonts w:asciiTheme="majorHAnsi" w:eastAsiaTheme="majorEastAsia" w:hAnsiTheme="majorHAnsi" w:cstheme="majorBidi"/>
      <w:color w:val="243F60" w:themeColor="accent1" w:themeShade="7F"/>
      <w:sz w:val="24"/>
      <w:szCs w:val="24"/>
    </w:rPr>
  </w:style>
  <w:style w:type="character" w:customStyle="1" w:styleId="Titolo4Carattere">
    <w:name w:val="Titolo 4 Carattere"/>
    <w:basedOn w:val="Carpredefinitoparagrafo"/>
    <w:link w:val="Titolo4"/>
    <w:uiPriority w:val="99"/>
    <w:rsid w:val="0007346F"/>
    <w:rPr>
      <w:rFonts w:ascii="Calibri" w:hAnsi="Calibri"/>
      <w:b/>
      <w:bCs/>
      <w:sz w:val="28"/>
      <w:szCs w:val="28"/>
    </w:rPr>
  </w:style>
  <w:style w:type="character" w:customStyle="1" w:styleId="Titolo1Carattere">
    <w:name w:val="Titolo 1 Carattere"/>
    <w:basedOn w:val="Carpredefinitoparagrafo"/>
    <w:link w:val="Titolo1"/>
    <w:uiPriority w:val="99"/>
    <w:locked/>
    <w:rsid w:val="0007346F"/>
    <w:rPr>
      <w:rFonts w:ascii="Verdana" w:hAnsi="Verdana"/>
      <w:b/>
      <w:bCs/>
      <w:sz w:val="22"/>
      <w:szCs w:val="24"/>
    </w:rPr>
  </w:style>
  <w:style w:type="character" w:customStyle="1" w:styleId="Titolo2Carattere">
    <w:name w:val="Titolo 2 Carattere"/>
    <w:basedOn w:val="Carpredefinitoparagrafo"/>
    <w:link w:val="Titolo2"/>
    <w:uiPriority w:val="99"/>
    <w:locked/>
    <w:rsid w:val="0007346F"/>
    <w:rPr>
      <w:rFonts w:ascii="Verdana" w:hAnsi="Verdana"/>
      <w:bCs/>
      <w:i/>
      <w:sz w:val="21"/>
      <w:szCs w:val="36"/>
    </w:rPr>
  </w:style>
  <w:style w:type="character" w:customStyle="1" w:styleId="Titolo3Carattere">
    <w:name w:val="Titolo 3 Carattere"/>
    <w:basedOn w:val="Carpredefinitoparagrafo"/>
    <w:link w:val="Titolo3"/>
    <w:uiPriority w:val="99"/>
    <w:locked/>
    <w:rsid w:val="0007346F"/>
    <w:rPr>
      <w:b/>
      <w:bCs/>
      <w:sz w:val="27"/>
      <w:szCs w:val="27"/>
    </w:rPr>
  </w:style>
  <w:style w:type="character" w:customStyle="1" w:styleId="Titolo6Carattere">
    <w:name w:val="Titolo 6 Carattere"/>
    <w:basedOn w:val="Carpredefinitoparagrafo"/>
    <w:link w:val="Titolo6"/>
    <w:uiPriority w:val="99"/>
    <w:locked/>
    <w:rsid w:val="0007346F"/>
    <w:rPr>
      <w:b/>
      <w:bCs/>
      <w:sz w:val="22"/>
      <w:szCs w:val="22"/>
    </w:rPr>
  </w:style>
  <w:style w:type="character" w:customStyle="1" w:styleId="CorpotestoCarattere">
    <w:name w:val="Corpo testo Carattere"/>
    <w:basedOn w:val="Carpredefinitoparagrafo"/>
    <w:link w:val="Corpotesto"/>
    <w:uiPriority w:val="99"/>
    <w:locked/>
    <w:rsid w:val="0007346F"/>
    <w:rPr>
      <w:rFonts w:ascii="Arial" w:hAnsi="Arial" w:cs="Arial"/>
      <w:b/>
      <w:bCs/>
      <w:sz w:val="24"/>
      <w:szCs w:val="23"/>
    </w:rPr>
  </w:style>
  <w:style w:type="character" w:customStyle="1" w:styleId="Corpodeltesto3Carattere">
    <w:name w:val="Corpo del testo 3 Carattere"/>
    <w:basedOn w:val="Carpredefinitoparagrafo"/>
    <w:link w:val="Corpodeltesto3"/>
    <w:uiPriority w:val="99"/>
    <w:locked/>
    <w:rsid w:val="0007346F"/>
    <w:rPr>
      <w:sz w:val="16"/>
      <w:szCs w:val="16"/>
    </w:rPr>
  </w:style>
  <w:style w:type="paragraph" w:styleId="Mappadocumento">
    <w:name w:val="Document Map"/>
    <w:basedOn w:val="Normale"/>
    <w:link w:val="MappadocumentoCarattere"/>
    <w:uiPriority w:val="99"/>
    <w:semiHidden/>
    <w:rsid w:val="0007346F"/>
    <w:pPr>
      <w:shd w:val="clear" w:color="auto" w:fill="000080"/>
    </w:pPr>
    <w:rPr>
      <w:sz w:val="2"/>
      <w:szCs w:val="2"/>
    </w:rPr>
  </w:style>
  <w:style w:type="character" w:customStyle="1" w:styleId="MappadocumentoCarattere">
    <w:name w:val="Mappa documento Carattere"/>
    <w:basedOn w:val="Carpredefinitoparagrafo"/>
    <w:link w:val="Mappadocumento"/>
    <w:uiPriority w:val="99"/>
    <w:semiHidden/>
    <w:rsid w:val="0007346F"/>
    <w:rPr>
      <w:sz w:val="2"/>
      <w:szCs w:val="2"/>
      <w:shd w:val="clear" w:color="auto" w:fill="000080"/>
    </w:rPr>
  </w:style>
  <w:style w:type="character" w:customStyle="1" w:styleId="RientrocorpodeltestoCarattere">
    <w:name w:val="Rientro corpo del testo Carattere"/>
    <w:basedOn w:val="Carpredefinitoparagrafo"/>
    <w:link w:val="Rientrocorpodeltesto"/>
    <w:uiPriority w:val="99"/>
    <w:locked/>
    <w:rsid w:val="0007346F"/>
    <w:rPr>
      <w:rFonts w:ascii="Verdana" w:hAnsi="Verdana"/>
      <w:sz w:val="22"/>
      <w:szCs w:val="24"/>
    </w:rPr>
  </w:style>
  <w:style w:type="paragraph" w:customStyle="1" w:styleId="Comunicato">
    <w:name w:val="Comunicato"/>
    <w:basedOn w:val="Normale"/>
    <w:link w:val="ComunicatoCarattere"/>
    <w:uiPriority w:val="99"/>
    <w:rsid w:val="0007346F"/>
    <w:pPr>
      <w:jc w:val="both"/>
    </w:pPr>
    <w:rPr>
      <w:sz w:val="23"/>
      <w:szCs w:val="20"/>
    </w:rPr>
  </w:style>
  <w:style w:type="character" w:customStyle="1" w:styleId="ComunicatoCarattere">
    <w:name w:val="Comunicato Carattere"/>
    <w:link w:val="Comunicato"/>
    <w:uiPriority w:val="99"/>
    <w:locked/>
    <w:rsid w:val="0007346F"/>
    <w:rPr>
      <w:sz w:val="23"/>
    </w:rPr>
  </w:style>
  <w:style w:type="paragraph" w:styleId="Sommario1">
    <w:name w:val="toc 1"/>
    <w:basedOn w:val="Normale"/>
    <w:next w:val="Normale"/>
    <w:autoRedefine/>
    <w:uiPriority w:val="99"/>
    <w:semiHidden/>
    <w:rsid w:val="0007346F"/>
    <w:pPr>
      <w:tabs>
        <w:tab w:val="right" w:leader="dot" w:pos="9060"/>
      </w:tabs>
      <w:spacing w:before="40" w:after="80"/>
    </w:pPr>
    <w:rPr>
      <w:rFonts w:ascii="Verdana" w:hAnsi="Verdana" w:cs="Verdana"/>
      <w:i/>
      <w:iCs/>
      <w:noProof/>
      <w:color w:val="800000"/>
      <w:sz w:val="18"/>
      <w:szCs w:val="18"/>
    </w:rPr>
  </w:style>
  <w:style w:type="character" w:customStyle="1" w:styleId="TestonormaleCarattere">
    <w:name w:val="Testo normale Carattere"/>
    <w:basedOn w:val="Carpredefinitoparagrafo"/>
    <w:link w:val="Testonormale"/>
    <w:uiPriority w:val="99"/>
    <w:locked/>
    <w:rsid w:val="0007346F"/>
    <w:rPr>
      <w:rFonts w:ascii="Courier New" w:hAnsi="Courier New" w:cs="Courier New"/>
    </w:rPr>
  </w:style>
  <w:style w:type="character" w:customStyle="1" w:styleId="CarattereCarattere9">
    <w:name w:val="Carattere Carattere9"/>
    <w:uiPriority w:val="99"/>
    <w:semiHidden/>
    <w:locked/>
    <w:rsid w:val="0007346F"/>
    <w:rPr>
      <w:sz w:val="20"/>
    </w:rPr>
  </w:style>
  <w:style w:type="character" w:styleId="Collegamentovisitato">
    <w:name w:val="FollowedHyperlink"/>
    <w:basedOn w:val="Carpredefinitoparagrafo"/>
    <w:uiPriority w:val="99"/>
    <w:semiHidden/>
    <w:unhideWhenUsed/>
    <w:rsid w:val="0007346F"/>
    <w:rPr>
      <w:color w:val="800080" w:themeColor="followedHyperlink"/>
      <w:u w:val="single"/>
    </w:rPr>
  </w:style>
  <w:style w:type="table" w:styleId="Sfondochiaro-Colore2">
    <w:name w:val="Light Shading Accent 2"/>
    <w:basedOn w:val="Tabellanormale"/>
    <w:uiPriority w:val="60"/>
    <w:rsid w:val="00695F6B"/>
    <w:rPr>
      <w:rFonts w:asciiTheme="minorHAnsi" w:eastAsiaTheme="minorEastAsia" w:hAnsiTheme="minorHAnsi" w:cstheme="minorBidi"/>
      <w:color w:val="943634" w:themeColor="accent2" w:themeShade="BF"/>
      <w:sz w:val="22"/>
      <w:szCs w:val="22"/>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00TitoGra1">
    <w:name w:val="00TitoGra1"/>
    <w:basedOn w:val="Normale"/>
    <w:qFormat/>
    <w:rsid w:val="0038412A"/>
    <w:pPr>
      <w:widowControl w:val="0"/>
      <w:overflowPunct w:val="0"/>
      <w:autoSpaceDE w:val="0"/>
      <w:autoSpaceDN w:val="0"/>
      <w:adjustRightInd w:val="0"/>
      <w:spacing w:line="280" w:lineRule="exact"/>
    </w:pPr>
    <w:rPr>
      <w:rFonts w:ascii="Calibri" w:hAnsi="Calibri" w:cs="Arial"/>
      <w:b/>
      <w:color w:val="D90B13"/>
      <w:kern w:val="28"/>
      <w:sz w:val="28"/>
      <w:szCs w:val="28"/>
    </w:rPr>
  </w:style>
  <w:style w:type="paragraph" w:styleId="PreformattatoHTML">
    <w:name w:val="HTML Preformatted"/>
    <w:basedOn w:val="Normale"/>
    <w:link w:val="PreformattatoHTMLCarattere"/>
    <w:uiPriority w:val="99"/>
    <w:unhideWhenUsed/>
    <w:rsid w:val="007E4D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formattatoHTMLCarattere">
    <w:name w:val="Preformattato HTML Carattere"/>
    <w:basedOn w:val="Carpredefinitoparagrafo"/>
    <w:link w:val="PreformattatoHTML"/>
    <w:uiPriority w:val="99"/>
    <w:rsid w:val="007E4DB8"/>
    <w:rPr>
      <w:rFonts w:ascii="Courier New" w:hAnsi="Courier New" w:cs="Courier New"/>
    </w:rPr>
  </w:style>
  <w:style w:type="paragraph" w:customStyle="1" w:styleId="AIPtesto">
    <w:name w:val="A_IP testo"/>
    <w:basedOn w:val="Normale"/>
    <w:link w:val="AIPtestoCarattere"/>
    <w:qFormat/>
    <w:rsid w:val="00701A23"/>
    <w:pPr>
      <w:spacing w:after="120" w:line="259" w:lineRule="auto"/>
      <w:jc w:val="both"/>
    </w:pPr>
    <w:rPr>
      <w:rFonts w:ascii="Arial Narrow" w:eastAsiaTheme="minorHAnsi" w:hAnsi="Arial Narrow" w:cs="Arial"/>
      <w:szCs w:val="23"/>
      <w:lang w:eastAsia="en-US"/>
    </w:rPr>
  </w:style>
  <w:style w:type="character" w:customStyle="1" w:styleId="AIPtestoCarattere">
    <w:name w:val="A_IP testo Carattere"/>
    <w:basedOn w:val="Carpredefinitoparagrafo"/>
    <w:link w:val="AIPtesto"/>
    <w:rsid w:val="00701A23"/>
    <w:rPr>
      <w:rFonts w:ascii="Arial Narrow" w:eastAsiaTheme="minorHAnsi" w:hAnsi="Arial Narrow" w:cs="Arial"/>
      <w:sz w:val="24"/>
      <w:szCs w:val="23"/>
      <w:lang w:eastAsia="en-US"/>
    </w:rPr>
  </w:style>
  <w:style w:type="character" w:customStyle="1" w:styleId="Menzionenonrisolta1">
    <w:name w:val="Menzione non risolta1"/>
    <w:basedOn w:val="Carpredefinitoparagrafo"/>
    <w:uiPriority w:val="99"/>
    <w:semiHidden/>
    <w:unhideWhenUsed/>
    <w:rsid w:val="00F73E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019045">
      <w:bodyDiv w:val="1"/>
      <w:marLeft w:val="0"/>
      <w:marRight w:val="0"/>
      <w:marTop w:val="0"/>
      <w:marBottom w:val="0"/>
      <w:divBdr>
        <w:top w:val="none" w:sz="0" w:space="0" w:color="auto"/>
        <w:left w:val="none" w:sz="0" w:space="0" w:color="auto"/>
        <w:bottom w:val="none" w:sz="0" w:space="0" w:color="auto"/>
        <w:right w:val="none" w:sz="0" w:space="0" w:color="auto"/>
      </w:divBdr>
    </w:div>
    <w:div w:id="132842651">
      <w:bodyDiv w:val="1"/>
      <w:marLeft w:val="0"/>
      <w:marRight w:val="0"/>
      <w:marTop w:val="0"/>
      <w:marBottom w:val="0"/>
      <w:divBdr>
        <w:top w:val="none" w:sz="0" w:space="0" w:color="auto"/>
        <w:left w:val="none" w:sz="0" w:space="0" w:color="auto"/>
        <w:bottom w:val="none" w:sz="0" w:space="0" w:color="auto"/>
        <w:right w:val="none" w:sz="0" w:space="0" w:color="auto"/>
      </w:divBdr>
    </w:div>
    <w:div w:id="151600973">
      <w:bodyDiv w:val="1"/>
      <w:marLeft w:val="0"/>
      <w:marRight w:val="0"/>
      <w:marTop w:val="0"/>
      <w:marBottom w:val="0"/>
      <w:divBdr>
        <w:top w:val="none" w:sz="0" w:space="0" w:color="auto"/>
        <w:left w:val="none" w:sz="0" w:space="0" w:color="auto"/>
        <w:bottom w:val="none" w:sz="0" w:space="0" w:color="auto"/>
        <w:right w:val="none" w:sz="0" w:space="0" w:color="auto"/>
      </w:divBdr>
    </w:div>
    <w:div w:id="161939806">
      <w:bodyDiv w:val="1"/>
      <w:marLeft w:val="0"/>
      <w:marRight w:val="0"/>
      <w:marTop w:val="0"/>
      <w:marBottom w:val="0"/>
      <w:divBdr>
        <w:top w:val="none" w:sz="0" w:space="0" w:color="auto"/>
        <w:left w:val="none" w:sz="0" w:space="0" w:color="auto"/>
        <w:bottom w:val="none" w:sz="0" w:space="0" w:color="auto"/>
        <w:right w:val="none" w:sz="0" w:space="0" w:color="auto"/>
      </w:divBdr>
    </w:div>
    <w:div w:id="196967333">
      <w:bodyDiv w:val="1"/>
      <w:marLeft w:val="0"/>
      <w:marRight w:val="0"/>
      <w:marTop w:val="0"/>
      <w:marBottom w:val="0"/>
      <w:divBdr>
        <w:top w:val="none" w:sz="0" w:space="0" w:color="auto"/>
        <w:left w:val="none" w:sz="0" w:space="0" w:color="auto"/>
        <w:bottom w:val="none" w:sz="0" w:space="0" w:color="auto"/>
        <w:right w:val="none" w:sz="0" w:space="0" w:color="auto"/>
      </w:divBdr>
    </w:div>
    <w:div w:id="198670868">
      <w:bodyDiv w:val="1"/>
      <w:marLeft w:val="0"/>
      <w:marRight w:val="0"/>
      <w:marTop w:val="0"/>
      <w:marBottom w:val="0"/>
      <w:divBdr>
        <w:top w:val="none" w:sz="0" w:space="0" w:color="auto"/>
        <w:left w:val="none" w:sz="0" w:space="0" w:color="auto"/>
        <w:bottom w:val="none" w:sz="0" w:space="0" w:color="auto"/>
        <w:right w:val="none" w:sz="0" w:space="0" w:color="auto"/>
      </w:divBdr>
    </w:div>
    <w:div w:id="228618688">
      <w:bodyDiv w:val="1"/>
      <w:marLeft w:val="0"/>
      <w:marRight w:val="0"/>
      <w:marTop w:val="0"/>
      <w:marBottom w:val="0"/>
      <w:divBdr>
        <w:top w:val="none" w:sz="0" w:space="0" w:color="auto"/>
        <w:left w:val="none" w:sz="0" w:space="0" w:color="auto"/>
        <w:bottom w:val="none" w:sz="0" w:space="0" w:color="auto"/>
        <w:right w:val="none" w:sz="0" w:space="0" w:color="auto"/>
      </w:divBdr>
    </w:div>
    <w:div w:id="255217576">
      <w:bodyDiv w:val="1"/>
      <w:marLeft w:val="0"/>
      <w:marRight w:val="0"/>
      <w:marTop w:val="0"/>
      <w:marBottom w:val="0"/>
      <w:divBdr>
        <w:top w:val="none" w:sz="0" w:space="0" w:color="auto"/>
        <w:left w:val="none" w:sz="0" w:space="0" w:color="auto"/>
        <w:bottom w:val="none" w:sz="0" w:space="0" w:color="auto"/>
        <w:right w:val="none" w:sz="0" w:space="0" w:color="auto"/>
      </w:divBdr>
    </w:div>
    <w:div w:id="270362980">
      <w:bodyDiv w:val="1"/>
      <w:marLeft w:val="0"/>
      <w:marRight w:val="0"/>
      <w:marTop w:val="0"/>
      <w:marBottom w:val="0"/>
      <w:divBdr>
        <w:top w:val="none" w:sz="0" w:space="0" w:color="auto"/>
        <w:left w:val="none" w:sz="0" w:space="0" w:color="auto"/>
        <w:bottom w:val="none" w:sz="0" w:space="0" w:color="auto"/>
        <w:right w:val="none" w:sz="0" w:space="0" w:color="auto"/>
      </w:divBdr>
    </w:div>
    <w:div w:id="310909387">
      <w:bodyDiv w:val="1"/>
      <w:marLeft w:val="0"/>
      <w:marRight w:val="0"/>
      <w:marTop w:val="0"/>
      <w:marBottom w:val="0"/>
      <w:divBdr>
        <w:top w:val="none" w:sz="0" w:space="0" w:color="auto"/>
        <w:left w:val="none" w:sz="0" w:space="0" w:color="auto"/>
        <w:bottom w:val="none" w:sz="0" w:space="0" w:color="auto"/>
        <w:right w:val="none" w:sz="0" w:space="0" w:color="auto"/>
      </w:divBdr>
    </w:div>
    <w:div w:id="349378230">
      <w:bodyDiv w:val="1"/>
      <w:marLeft w:val="0"/>
      <w:marRight w:val="0"/>
      <w:marTop w:val="0"/>
      <w:marBottom w:val="0"/>
      <w:divBdr>
        <w:top w:val="none" w:sz="0" w:space="0" w:color="auto"/>
        <w:left w:val="none" w:sz="0" w:space="0" w:color="auto"/>
        <w:bottom w:val="none" w:sz="0" w:space="0" w:color="auto"/>
        <w:right w:val="none" w:sz="0" w:space="0" w:color="auto"/>
      </w:divBdr>
    </w:div>
    <w:div w:id="404114048">
      <w:bodyDiv w:val="1"/>
      <w:marLeft w:val="0"/>
      <w:marRight w:val="0"/>
      <w:marTop w:val="0"/>
      <w:marBottom w:val="0"/>
      <w:divBdr>
        <w:top w:val="none" w:sz="0" w:space="0" w:color="auto"/>
        <w:left w:val="none" w:sz="0" w:space="0" w:color="auto"/>
        <w:bottom w:val="none" w:sz="0" w:space="0" w:color="auto"/>
        <w:right w:val="none" w:sz="0" w:space="0" w:color="auto"/>
      </w:divBdr>
    </w:div>
    <w:div w:id="460540886">
      <w:bodyDiv w:val="1"/>
      <w:marLeft w:val="0"/>
      <w:marRight w:val="0"/>
      <w:marTop w:val="0"/>
      <w:marBottom w:val="0"/>
      <w:divBdr>
        <w:top w:val="none" w:sz="0" w:space="0" w:color="auto"/>
        <w:left w:val="none" w:sz="0" w:space="0" w:color="auto"/>
        <w:bottom w:val="none" w:sz="0" w:space="0" w:color="auto"/>
        <w:right w:val="none" w:sz="0" w:space="0" w:color="auto"/>
      </w:divBdr>
    </w:div>
    <w:div w:id="666784563">
      <w:bodyDiv w:val="1"/>
      <w:marLeft w:val="0"/>
      <w:marRight w:val="0"/>
      <w:marTop w:val="0"/>
      <w:marBottom w:val="0"/>
      <w:divBdr>
        <w:top w:val="none" w:sz="0" w:space="0" w:color="auto"/>
        <w:left w:val="none" w:sz="0" w:space="0" w:color="auto"/>
        <w:bottom w:val="none" w:sz="0" w:space="0" w:color="auto"/>
        <w:right w:val="none" w:sz="0" w:space="0" w:color="auto"/>
      </w:divBdr>
    </w:div>
    <w:div w:id="700865318">
      <w:bodyDiv w:val="1"/>
      <w:marLeft w:val="0"/>
      <w:marRight w:val="0"/>
      <w:marTop w:val="0"/>
      <w:marBottom w:val="0"/>
      <w:divBdr>
        <w:top w:val="none" w:sz="0" w:space="0" w:color="auto"/>
        <w:left w:val="none" w:sz="0" w:space="0" w:color="auto"/>
        <w:bottom w:val="none" w:sz="0" w:space="0" w:color="auto"/>
        <w:right w:val="none" w:sz="0" w:space="0" w:color="auto"/>
      </w:divBdr>
    </w:div>
    <w:div w:id="748114000">
      <w:bodyDiv w:val="1"/>
      <w:marLeft w:val="0"/>
      <w:marRight w:val="0"/>
      <w:marTop w:val="0"/>
      <w:marBottom w:val="0"/>
      <w:divBdr>
        <w:top w:val="none" w:sz="0" w:space="0" w:color="auto"/>
        <w:left w:val="none" w:sz="0" w:space="0" w:color="auto"/>
        <w:bottom w:val="none" w:sz="0" w:space="0" w:color="auto"/>
        <w:right w:val="none" w:sz="0" w:space="0" w:color="auto"/>
      </w:divBdr>
    </w:div>
    <w:div w:id="786436464">
      <w:bodyDiv w:val="1"/>
      <w:marLeft w:val="0"/>
      <w:marRight w:val="0"/>
      <w:marTop w:val="0"/>
      <w:marBottom w:val="0"/>
      <w:divBdr>
        <w:top w:val="none" w:sz="0" w:space="0" w:color="auto"/>
        <w:left w:val="none" w:sz="0" w:space="0" w:color="auto"/>
        <w:bottom w:val="none" w:sz="0" w:space="0" w:color="auto"/>
        <w:right w:val="none" w:sz="0" w:space="0" w:color="auto"/>
      </w:divBdr>
    </w:div>
    <w:div w:id="937979964">
      <w:bodyDiv w:val="1"/>
      <w:marLeft w:val="0"/>
      <w:marRight w:val="0"/>
      <w:marTop w:val="0"/>
      <w:marBottom w:val="0"/>
      <w:divBdr>
        <w:top w:val="none" w:sz="0" w:space="0" w:color="auto"/>
        <w:left w:val="none" w:sz="0" w:space="0" w:color="auto"/>
        <w:bottom w:val="none" w:sz="0" w:space="0" w:color="auto"/>
        <w:right w:val="none" w:sz="0" w:space="0" w:color="auto"/>
      </w:divBdr>
    </w:div>
    <w:div w:id="975523897">
      <w:bodyDiv w:val="1"/>
      <w:marLeft w:val="0"/>
      <w:marRight w:val="0"/>
      <w:marTop w:val="0"/>
      <w:marBottom w:val="0"/>
      <w:divBdr>
        <w:top w:val="none" w:sz="0" w:space="0" w:color="auto"/>
        <w:left w:val="none" w:sz="0" w:space="0" w:color="auto"/>
        <w:bottom w:val="none" w:sz="0" w:space="0" w:color="auto"/>
        <w:right w:val="none" w:sz="0" w:space="0" w:color="auto"/>
      </w:divBdr>
    </w:div>
    <w:div w:id="988511794">
      <w:bodyDiv w:val="1"/>
      <w:marLeft w:val="0"/>
      <w:marRight w:val="0"/>
      <w:marTop w:val="0"/>
      <w:marBottom w:val="0"/>
      <w:divBdr>
        <w:top w:val="none" w:sz="0" w:space="0" w:color="auto"/>
        <w:left w:val="none" w:sz="0" w:space="0" w:color="auto"/>
        <w:bottom w:val="none" w:sz="0" w:space="0" w:color="auto"/>
        <w:right w:val="none" w:sz="0" w:space="0" w:color="auto"/>
      </w:divBdr>
    </w:div>
    <w:div w:id="1175851113">
      <w:bodyDiv w:val="1"/>
      <w:marLeft w:val="0"/>
      <w:marRight w:val="0"/>
      <w:marTop w:val="0"/>
      <w:marBottom w:val="0"/>
      <w:divBdr>
        <w:top w:val="none" w:sz="0" w:space="0" w:color="auto"/>
        <w:left w:val="none" w:sz="0" w:space="0" w:color="auto"/>
        <w:bottom w:val="none" w:sz="0" w:space="0" w:color="auto"/>
        <w:right w:val="none" w:sz="0" w:space="0" w:color="auto"/>
      </w:divBdr>
    </w:div>
    <w:div w:id="1190532546">
      <w:bodyDiv w:val="1"/>
      <w:marLeft w:val="0"/>
      <w:marRight w:val="0"/>
      <w:marTop w:val="0"/>
      <w:marBottom w:val="0"/>
      <w:divBdr>
        <w:top w:val="none" w:sz="0" w:space="0" w:color="auto"/>
        <w:left w:val="none" w:sz="0" w:space="0" w:color="auto"/>
        <w:bottom w:val="none" w:sz="0" w:space="0" w:color="auto"/>
        <w:right w:val="none" w:sz="0" w:space="0" w:color="auto"/>
      </w:divBdr>
    </w:div>
    <w:div w:id="1209146828">
      <w:bodyDiv w:val="1"/>
      <w:marLeft w:val="0"/>
      <w:marRight w:val="0"/>
      <w:marTop w:val="0"/>
      <w:marBottom w:val="0"/>
      <w:divBdr>
        <w:top w:val="none" w:sz="0" w:space="0" w:color="auto"/>
        <w:left w:val="none" w:sz="0" w:space="0" w:color="auto"/>
        <w:bottom w:val="none" w:sz="0" w:space="0" w:color="auto"/>
        <w:right w:val="none" w:sz="0" w:space="0" w:color="auto"/>
      </w:divBdr>
    </w:div>
    <w:div w:id="1257665360">
      <w:bodyDiv w:val="1"/>
      <w:marLeft w:val="0"/>
      <w:marRight w:val="0"/>
      <w:marTop w:val="0"/>
      <w:marBottom w:val="0"/>
      <w:divBdr>
        <w:top w:val="none" w:sz="0" w:space="0" w:color="auto"/>
        <w:left w:val="none" w:sz="0" w:space="0" w:color="auto"/>
        <w:bottom w:val="none" w:sz="0" w:space="0" w:color="auto"/>
        <w:right w:val="none" w:sz="0" w:space="0" w:color="auto"/>
      </w:divBdr>
      <w:divsChild>
        <w:div w:id="2123837005">
          <w:marLeft w:val="0"/>
          <w:marRight w:val="0"/>
          <w:marTop w:val="0"/>
          <w:marBottom w:val="90"/>
          <w:divBdr>
            <w:top w:val="none" w:sz="0" w:space="0" w:color="auto"/>
            <w:left w:val="none" w:sz="0" w:space="0" w:color="auto"/>
            <w:bottom w:val="none" w:sz="0" w:space="0" w:color="auto"/>
            <w:right w:val="none" w:sz="0" w:space="0" w:color="auto"/>
          </w:divBdr>
        </w:div>
      </w:divsChild>
    </w:div>
    <w:div w:id="1265265809">
      <w:bodyDiv w:val="1"/>
      <w:marLeft w:val="0"/>
      <w:marRight w:val="0"/>
      <w:marTop w:val="0"/>
      <w:marBottom w:val="0"/>
      <w:divBdr>
        <w:top w:val="none" w:sz="0" w:space="0" w:color="auto"/>
        <w:left w:val="none" w:sz="0" w:space="0" w:color="auto"/>
        <w:bottom w:val="none" w:sz="0" w:space="0" w:color="auto"/>
        <w:right w:val="none" w:sz="0" w:space="0" w:color="auto"/>
      </w:divBdr>
    </w:div>
    <w:div w:id="1280915925">
      <w:bodyDiv w:val="1"/>
      <w:marLeft w:val="0"/>
      <w:marRight w:val="0"/>
      <w:marTop w:val="0"/>
      <w:marBottom w:val="0"/>
      <w:divBdr>
        <w:top w:val="none" w:sz="0" w:space="0" w:color="auto"/>
        <w:left w:val="none" w:sz="0" w:space="0" w:color="auto"/>
        <w:bottom w:val="none" w:sz="0" w:space="0" w:color="auto"/>
        <w:right w:val="none" w:sz="0" w:space="0" w:color="auto"/>
      </w:divBdr>
    </w:div>
    <w:div w:id="1343118690">
      <w:bodyDiv w:val="1"/>
      <w:marLeft w:val="0"/>
      <w:marRight w:val="0"/>
      <w:marTop w:val="0"/>
      <w:marBottom w:val="0"/>
      <w:divBdr>
        <w:top w:val="none" w:sz="0" w:space="0" w:color="auto"/>
        <w:left w:val="none" w:sz="0" w:space="0" w:color="auto"/>
        <w:bottom w:val="none" w:sz="0" w:space="0" w:color="auto"/>
        <w:right w:val="none" w:sz="0" w:space="0" w:color="auto"/>
      </w:divBdr>
    </w:div>
    <w:div w:id="1470392896">
      <w:bodyDiv w:val="1"/>
      <w:marLeft w:val="0"/>
      <w:marRight w:val="0"/>
      <w:marTop w:val="0"/>
      <w:marBottom w:val="0"/>
      <w:divBdr>
        <w:top w:val="none" w:sz="0" w:space="0" w:color="auto"/>
        <w:left w:val="none" w:sz="0" w:space="0" w:color="auto"/>
        <w:bottom w:val="none" w:sz="0" w:space="0" w:color="auto"/>
        <w:right w:val="none" w:sz="0" w:space="0" w:color="auto"/>
      </w:divBdr>
    </w:div>
    <w:div w:id="1521041103">
      <w:bodyDiv w:val="1"/>
      <w:marLeft w:val="0"/>
      <w:marRight w:val="0"/>
      <w:marTop w:val="0"/>
      <w:marBottom w:val="0"/>
      <w:divBdr>
        <w:top w:val="none" w:sz="0" w:space="0" w:color="auto"/>
        <w:left w:val="none" w:sz="0" w:space="0" w:color="auto"/>
        <w:bottom w:val="none" w:sz="0" w:space="0" w:color="auto"/>
        <w:right w:val="none" w:sz="0" w:space="0" w:color="auto"/>
      </w:divBdr>
    </w:div>
    <w:div w:id="1553539067">
      <w:bodyDiv w:val="1"/>
      <w:marLeft w:val="0"/>
      <w:marRight w:val="0"/>
      <w:marTop w:val="0"/>
      <w:marBottom w:val="0"/>
      <w:divBdr>
        <w:top w:val="none" w:sz="0" w:space="0" w:color="auto"/>
        <w:left w:val="none" w:sz="0" w:space="0" w:color="auto"/>
        <w:bottom w:val="none" w:sz="0" w:space="0" w:color="auto"/>
        <w:right w:val="none" w:sz="0" w:space="0" w:color="auto"/>
      </w:divBdr>
      <w:divsChild>
        <w:div w:id="116147117">
          <w:marLeft w:val="144"/>
          <w:marRight w:val="0"/>
          <w:marTop w:val="240"/>
          <w:marBottom w:val="40"/>
          <w:divBdr>
            <w:top w:val="none" w:sz="0" w:space="0" w:color="auto"/>
            <w:left w:val="none" w:sz="0" w:space="0" w:color="auto"/>
            <w:bottom w:val="none" w:sz="0" w:space="0" w:color="auto"/>
            <w:right w:val="none" w:sz="0" w:space="0" w:color="auto"/>
          </w:divBdr>
        </w:div>
      </w:divsChild>
    </w:div>
    <w:div w:id="1563981558">
      <w:bodyDiv w:val="1"/>
      <w:marLeft w:val="0"/>
      <w:marRight w:val="0"/>
      <w:marTop w:val="0"/>
      <w:marBottom w:val="0"/>
      <w:divBdr>
        <w:top w:val="none" w:sz="0" w:space="0" w:color="auto"/>
        <w:left w:val="none" w:sz="0" w:space="0" w:color="auto"/>
        <w:bottom w:val="none" w:sz="0" w:space="0" w:color="auto"/>
        <w:right w:val="none" w:sz="0" w:space="0" w:color="auto"/>
      </w:divBdr>
    </w:div>
    <w:div w:id="1596160424">
      <w:bodyDiv w:val="1"/>
      <w:marLeft w:val="0"/>
      <w:marRight w:val="0"/>
      <w:marTop w:val="0"/>
      <w:marBottom w:val="0"/>
      <w:divBdr>
        <w:top w:val="none" w:sz="0" w:space="0" w:color="auto"/>
        <w:left w:val="none" w:sz="0" w:space="0" w:color="auto"/>
        <w:bottom w:val="none" w:sz="0" w:space="0" w:color="auto"/>
        <w:right w:val="none" w:sz="0" w:space="0" w:color="auto"/>
      </w:divBdr>
    </w:div>
    <w:div w:id="1702046355">
      <w:bodyDiv w:val="1"/>
      <w:marLeft w:val="0"/>
      <w:marRight w:val="0"/>
      <w:marTop w:val="0"/>
      <w:marBottom w:val="0"/>
      <w:divBdr>
        <w:top w:val="none" w:sz="0" w:space="0" w:color="auto"/>
        <w:left w:val="none" w:sz="0" w:space="0" w:color="auto"/>
        <w:bottom w:val="none" w:sz="0" w:space="0" w:color="auto"/>
        <w:right w:val="none" w:sz="0" w:space="0" w:color="auto"/>
      </w:divBdr>
    </w:div>
    <w:div w:id="1720397666">
      <w:bodyDiv w:val="1"/>
      <w:marLeft w:val="0"/>
      <w:marRight w:val="0"/>
      <w:marTop w:val="0"/>
      <w:marBottom w:val="0"/>
      <w:divBdr>
        <w:top w:val="none" w:sz="0" w:space="0" w:color="auto"/>
        <w:left w:val="none" w:sz="0" w:space="0" w:color="auto"/>
        <w:bottom w:val="none" w:sz="0" w:space="0" w:color="auto"/>
        <w:right w:val="none" w:sz="0" w:space="0" w:color="auto"/>
      </w:divBdr>
    </w:div>
    <w:div w:id="1762025528">
      <w:bodyDiv w:val="1"/>
      <w:marLeft w:val="0"/>
      <w:marRight w:val="0"/>
      <w:marTop w:val="0"/>
      <w:marBottom w:val="0"/>
      <w:divBdr>
        <w:top w:val="none" w:sz="0" w:space="0" w:color="auto"/>
        <w:left w:val="none" w:sz="0" w:space="0" w:color="auto"/>
        <w:bottom w:val="none" w:sz="0" w:space="0" w:color="auto"/>
        <w:right w:val="none" w:sz="0" w:space="0" w:color="auto"/>
      </w:divBdr>
    </w:div>
    <w:div w:id="1815952037">
      <w:bodyDiv w:val="1"/>
      <w:marLeft w:val="0"/>
      <w:marRight w:val="0"/>
      <w:marTop w:val="0"/>
      <w:marBottom w:val="0"/>
      <w:divBdr>
        <w:top w:val="none" w:sz="0" w:space="0" w:color="auto"/>
        <w:left w:val="none" w:sz="0" w:space="0" w:color="auto"/>
        <w:bottom w:val="none" w:sz="0" w:space="0" w:color="auto"/>
        <w:right w:val="none" w:sz="0" w:space="0" w:color="auto"/>
      </w:divBdr>
    </w:div>
    <w:div w:id="1816409276">
      <w:bodyDiv w:val="1"/>
      <w:marLeft w:val="0"/>
      <w:marRight w:val="0"/>
      <w:marTop w:val="0"/>
      <w:marBottom w:val="0"/>
      <w:divBdr>
        <w:top w:val="none" w:sz="0" w:space="0" w:color="auto"/>
        <w:left w:val="none" w:sz="0" w:space="0" w:color="auto"/>
        <w:bottom w:val="none" w:sz="0" w:space="0" w:color="auto"/>
        <w:right w:val="none" w:sz="0" w:space="0" w:color="auto"/>
      </w:divBdr>
    </w:div>
    <w:div w:id="1933052514">
      <w:bodyDiv w:val="1"/>
      <w:marLeft w:val="0"/>
      <w:marRight w:val="0"/>
      <w:marTop w:val="0"/>
      <w:marBottom w:val="0"/>
      <w:divBdr>
        <w:top w:val="none" w:sz="0" w:space="0" w:color="auto"/>
        <w:left w:val="none" w:sz="0" w:space="0" w:color="auto"/>
        <w:bottom w:val="none" w:sz="0" w:space="0" w:color="auto"/>
        <w:right w:val="none" w:sz="0" w:space="0" w:color="auto"/>
      </w:divBdr>
    </w:div>
    <w:div w:id="1934243663">
      <w:bodyDiv w:val="1"/>
      <w:marLeft w:val="0"/>
      <w:marRight w:val="0"/>
      <w:marTop w:val="0"/>
      <w:marBottom w:val="0"/>
      <w:divBdr>
        <w:top w:val="none" w:sz="0" w:space="0" w:color="auto"/>
        <w:left w:val="none" w:sz="0" w:space="0" w:color="auto"/>
        <w:bottom w:val="none" w:sz="0" w:space="0" w:color="auto"/>
        <w:right w:val="none" w:sz="0" w:space="0" w:color="auto"/>
      </w:divBdr>
    </w:div>
    <w:div w:id="1949462488">
      <w:bodyDiv w:val="1"/>
      <w:marLeft w:val="0"/>
      <w:marRight w:val="0"/>
      <w:marTop w:val="0"/>
      <w:marBottom w:val="0"/>
      <w:divBdr>
        <w:top w:val="none" w:sz="0" w:space="0" w:color="auto"/>
        <w:left w:val="none" w:sz="0" w:space="0" w:color="auto"/>
        <w:bottom w:val="none" w:sz="0" w:space="0" w:color="auto"/>
        <w:right w:val="none" w:sz="0" w:space="0" w:color="auto"/>
      </w:divBdr>
    </w:div>
    <w:div w:id="2076976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gazzettaufficiale.it/eli/id/2021/12/31/21G00256/sg" TargetMode="External"/><Relationship Id="rId18" Type="http://schemas.openxmlformats.org/officeDocument/2006/relationships/chart" Target="charts/chart5.xml"/><Relationship Id="rId26" Type="http://schemas.openxmlformats.org/officeDocument/2006/relationships/hyperlink" Target="https://www.istat.it/it/statistiche-politiche-sviluppo" TargetMode="External"/><Relationship Id="rId3" Type="http://schemas.openxmlformats.org/officeDocument/2006/relationships/styles" Target="styles.xml"/><Relationship Id="rId21" Type="http://schemas.openxmlformats.org/officeDocument/2006/relationships/chart" Target="charts/chart8.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chart" Target="charts/chart4.xml"/><Relationship Id="rId25" Type="http://schemas.openxmlformats.org/officeDocument/2006/relationships/hyperlink" Target="http://dati.statistiche-pa.it/" TargetMode="Externa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dati.istat.it/" TargetMode="Externa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footer" Target="footer4.xml"/><Relationship Id="rId28" Type="http://schemas.openxmlformats.org/officeDocument/2006/relationships/footer" Target="footer5.xml"/><Relationship Id="rId10" Type="http://schemas.openxmlformats.org/officeDocument/2006/relationships/footer" Target="footer2.xml"/><Relationship Id="rId19"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hyperlink" Target="https://disabilitaincifre.istat.it/dawinciMD.jsp" TargetMode="External"/><Relationship Id="rId30" Type="http://schemas.openxmlformats.org/officeDocument/2006/relationships/theme" Target="theme/theme1.xml"/></Relationships>
</file>

<file path=word/_rels/endnotes.xml.rels><?xml version="1.0" encoding="UTF-8" standalone="yes"?>
<Relationships xmlns="http://schemas.openxmlformats.org/package/2006/relationships"><Relationship Id="rId3" Type="http://schemas.openxmlformats.org/officeDocument/2006/relationships/hyperlink" Target="mailto:milan@istat.it" TargetMode="External"/><Relationship Id="rId2" Type="http://schemas.openxmlformats.org/officeDocument/2006/relationships/hyperlink" Target="https://www.istat.it/it/archivio/290577" TargetMode="External"/><Relationship Id="rId1" Type="http://schemas.openxmlformats.org/officeDocument/2006/relationships/hyperlink" Target="https://www.istat.it/it/archivio/291186" TargetMode="External"/><Relationship Id="rId4" Type="http://schemas.openxmlformats.org/officeDocument/2006/relationships/hyperlink" Target="mailto:ciaccia@istat.it"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mailto:ufficiostampa@istat.it" TargetMode="External"/><Relationship Id="rId2" Type="http://schemas.openxmlformats.org/officeDocument/2006/relationships/hyperlink" Target="https://contact.istat.it/" TargetMode="External"/><Relationship Id="rId1" Type="http://schemas.openxmlformats.org/officeDocument/2006/relationships/hyperlink" Target="mailto:ufficiostampa@istat.it" TargetMode="External"/><Relationship Id="rId5" Type="http://schemas.openxmlformats.org/officeDocument/2006/relationships/image" Target="media/image3.jpg"/><Relationship Id="rId4" Type="http://schemas.openxmlformats.org/officeDocument/2006/relationships/hyperlink" Target="https://contact.istat.it/"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emf"/></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oleObject" Target="file:///\\nas-tuscolana\IntServiziSociali\Comuni%202021\6%20Pubblicazione%20dati\Statistica%20report%20spesa%20sociale%202021\Figure%20e%20tabella%201\spesa%20proc%20comuni%20reg%20e%20prov%20x%20region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TENTE\Downloads\tabella%20e%20grafici.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nas-tuscolana\IntServiziSociali\Comuni%202021\6%20Pubblicazione%20dati\Statistica%20report%20spesa%20sociale%202021\Figure%20e%20tabella%201\assistenza%20domiciliare%20anziani%20disabili.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nas-tuscolana\IntServiziSociali\Comuni%202021\6%20Pubblicazione%20dati\Statistica%20report%20spesa%20sociale%202021\Figure%20e%20tabella%201\assistenza%20domiciliare%20anziani%20disabili.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nas-tuscolana\IntServiziSociali\Comuni%202021\6%20Pubblicazione%20dati\Statistica%20report%20spesa%20sociale%202021\Figure%20e%20tabella%201\Definitive\Fig4.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nas-tuscolana\IntServiziSociali\Comuni%202021\6%20Pubblicazione%20dati\Statistica%20report%20spesa%20sociale%202021\Figure%20e%20tabella%201\Definitive\Fig4.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nas-tuscolana\IntServiziSociali\Comuni%202021\6%20Pubblicazione%20dati\Statistica%20report%20spesa%20sociale%202021\Figure%20e%20tabella%201\area%20immigrati%20serie%20spesa.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1" Type="http://schemas.openxmlformats.org/officeDocument/2006/relationships/oleObject" Target="file:///C:\Users\UTENTE\Downloads\tabella%20e%20grafic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248293963254588E-2"/>
          <c:y val="9.7151459008800359E-2"/>
          <c:w val="0.91721901452452204"/>
          <c:h val="0.49288207846568199"/>
        </c:manualLayout>
      </c:layout>
      <c:barChart>
        <c:barDir val="col"/>
        <c:grouping val="stacked"/>
        <c:varyColors val="0"/>
        <c:ser>
          <c:idx val="0"/>
          <c:order val="0"/>
          <c:tx>
            <c:strRef>
              <c:f>'Figura 5'!$B$1</c:f>
              <c:strCache>
                <c:ptCount val="1"/>
                <c:pt idx="0">
                  <c:v>Spesa dei Comuni singoli e associati</c:v>
                </c:pt>
              </c:strCache>
            </c:strRef>
          </c:tx>
          <c:spPr>
            <a:solidFill>
              <a:srgbClr val="1F497D"/>
            </a:solidFill>
            <a:ln>
              <a:noFill/>
            </a:ln>
            <a:effectLst/>
          </c:spPr>
          <c:invertIfNegative val="0"/>
          <c:dPt>
            <c:idx val="12"/>
            <c:invertIfNegative val="0"/>
            <c:bubble3D val="0"/>
            <c:spPr>
              <a:solidFill>
                <a:srgbClr val="92D050"/>
              </a:solidFill>
              <a:ln>
                <a:noFill/>
              </a:ln>
              <a:effectLst/>
            </c:spPr>
            <c:extLst>
              <c:ext xmlns:c16="http://schemas.microsoft.com/office/drawing/2014/chart" uri="{C3380CC4-5D6E-409C-BE32-E72D297353CC}">
                <c16:uniqueId val="{00000001-C0C4-4CDC-9A3A-791415D42C43}"/>
              </c:ext>
            </c:extLst>
          </c:dPt>
          <c:dPt>
            <c:idx val="13"/>
            <c:invertIfNegative val="0"/>
            <c:bubble3D val="0"/>
            <c:spPr>
              <a:solidFill>
                <a:srgbClr val="1F497D"/>
              </a:solidFill>
              <a:ln>
                <a:noFill/>
              </a:ln>
              <a:effectLst/>
            </c:spPr>
            <c:extLst>
              <c:ext xmlns:c16="http://schemas.microsoft.com/office/drawing/2014/chart" uri="{C3380CC4-5D6E-409C-BE32-E72D297353CC}">
                <c16:uniqueId val="{00000003-C0C4-4CDC-9A3A-791415D42C43}"/>
              </c:ext>
            </c:extLst>
          </c:dPt>
          <c:cat>
            <c:strRef>
              <c:f>'Figura 5'!$A$2:$A$24</c:f>
              <c:strCache>
                <c:ptCount val="23"/>
                <c:pt idx="0">
                  <c:v>Bolzano/Bozen</c:v>
                </c:pt>
                <c:pt idx="1">
                  <c:v>Trentino-Alto Adige/Südtirol</c:v>
                </c:pt>
                <c:pt idx="2">
                  <c:v>Trento</c:v>
                </c:pt>
                <c:pt idx="3">
                  <c:v>Valle d'Aosta/Vallée d'Aoste</c:v>
                </c:pt>
                <c:pt idx="4">
                  <c:v>Friuli-Venezia Giulia</c:v>
                </c:pt>
                <c:pt idx="5">
                  <c:v>Sardegna</c:v>
                </c:pt>
                <c:pt idx="6">
                  <c:v>Emilia-Romagna</c:v>
                </c:pt>
                <c:pt idx="7">
                  <c:v>Lazio</c:v>
                </c:pt>
                <c:pt idx="8">
                  <c:v>Lombardia</c:v>
                </c:pt>
                <c:pt idx="9">
                  <c:v>Toscana</c:v>
                </c:pt>
                <c:pt idx="10">
                  <c:v>Liguria</c:v>
                </c:pt>
                <c:pt idx="11">
                  <c:v>Piemonte</c:v>
                </c:pt>
                <c:pt idx="12">
                  <c:v>Italia</c:v>
                </c:pt>
                <c:pt idx="13">
                  <c:v>Marche</c:v>
                </c:pt>
                <c:pt idx="14">
                  <c:v>Veneto</c:v>
                </c:pt>
                <c:pt idx="15">
                  <c:v>Puglia</c:v>
                </c:pt>
                <c:pt idx="16">
                  <c:v>Umbria</c:v>
                </c:pt>
                <c:pt idx="17">
                  <c:v>Sicilia</c:v>
                </c:pt>
                <c:pt idx="18">
                  <c:v>Molise</c:v>
                </c:pt>
                <c:pt idx="19">
                  <c:v>Abruzzo</c:v>
                </c:pt>
                <c:pt idx="20">
                  <c:v>Campania</c:v>
                </c:pt>
                <c:pt idx="21">
                  <c:v>Basilicata</c:v>
                </c:pt>
                <c:pt idx="22">
                  <c:v>Calabria</c:v>
                </c:pt>
              </c:strCache>
            </c:strRef>
          </c:cat>
          <c:val>
            <c:numRef>
              <c:f>'Figura 5'!$B$2:$B$24</c:f>
              <c:numCache>
                <c:formatCode>_(* #,##0_);_(* \(#,##0\);_(* "-"_);_(@_)</c:formatCode>
                <c:ptCount val="23"/>
                <c:pt idx="0">
                  <c:v>592</c:v>
                </c:pt>
                <c:pt idx="1">
                  <c:v>429</c:v>
                </c:pt>
                <c:pt idx="2">
                  <c:v>267</c:v>
                </c:pt>
                <c:pt idx="3">
                  <c:v>231</c:v>
                </c:pt>
                <c:pt idx="4">
                  <c:v>286</c:v>
                </c:pt>
                <c:pt idx="5">
                  <c:v>279</c:v>
                </c:pt>
                <c:pt idx="6">
                  <c:v>202</c:v>
                </c:pt>
                <c:pt idx="7">
                  <c:v>159</c:v>
                </c:pt>
                <c:pt idx="8">
                  <c:v>158</c:v>
                </c:pt>
                <c:pt idx="9">
                  <c:v>156</c:v>
                </c:pt>
                <c:pt idx="10">
                  <c:v>147</c:v>
                </c:pt>
                <c:pt idx="11">
                  <c:v>154</c:v>
                </c:pt>
                <c:pt idx="12">
                  <c:v>142</c:v>
                </c:pt>
                <c:pt idx="13">
                  <c:v>131</c:v>
                </c:pt>
                <c:pt idx="14">
                  <c:v>120</c:v>
                </c:pt>
                <c:pt idx="15">
                  <c:v>97</c:v>
                </c:pt>
                <c:pt idx="16">
                  <c:v>113</c:v>
                </c:pt>
                <c:pt idx="17">
                  <c:v>86</c:v>
                </c:pt>
                <c:pt idx="18">
                  <c:v>78</c:v>
                </c:pt>
                <c:pt idx="19">
                  <c:v>73</c:v>
                </c:pt>
                <c:pt idx="20">
                  <c:v>66</c:v>
                </c:pt>
                <c:pt idx="21">
                  <c:v>65</c:v>
                </c:pt>
                <c:pt idx="22">
                  <c:v>37</c:v>
                </c:pt>
              </c:numCache>
            </c:numRef>
          </c:val>
          <c:extLst>
            <c:ext xmlns:c16="http://schemas.microsoft.com/office/drawing/2014/chart" uri="{C3380CC4-5D6E-409C-BE32-E72D297353CC}">
              <c16:uniqueId val="{00000004-C0C4-4CDC-9A3A-791415D42C43}"/>
            </c:ext>
          </c:extLst>
        </c:ser>
        <c:ser>
          <c:idx val="1"/>
          <c:order val="1"/>
          <c:tx>
            <c:strRef>
              <c:f>'Figura 5'!$C$1</c:f>
              <c:strCache>
                <c:ptCount val="1"/>
                <c:pt idx="0">
                  <c:v>Spesa delle Regioni e delle Province</c:v>
                </c:pt>
              </c:strCache>
            </c:strRef>
          </c:tx>
          <c:spPr>
            <a:solidFill>
              <a:srgbClr val="FF0000"/>
            </a:solidFill>
            <a:ln>
              <a:noFill/>
            </a:ln>
            <a:effectLst/>
          </c:spPr>
          <c:invertIfNegative val="0"/>
          <c:dPt>
            <c:idx val="13"/>
            <c:invertIfNegative val="0"/>
            <c:bubble3D val="0"/>
            <c:spPr>
              <a:solidFill>
                <a:srgbClr val="FF0000"/>
              </a:solidFill>
              <a:ln>
                <a:noFill/>
              </a:ln>
              <a:effectLst/>
            </c:spPr>
            <c:extLst>
              <c:ext xmlns:c16="http://schemas.microsoft.com/office/drawing/2014/chart" uri="{C3380CC4-5D6E-409C-BE32-E72D297353CC}">
                <c16:uniqueId val="{00000006-C0C4-4CDC-9A3A-791415D42C43}"/>
              </c:ext>
            </c:extLst>
          </c:dPt>
          <c:cat>
            <c:strRef>
              <c:f>'Figura 5'!$A$2:$A$24</c:f>
              <c:strCache>
                <c:ptCount val="23"/>
                <c:pt idx="0">
                  <c:v>Bolzano/Bozen</c:v>
                </c:pt>
                <c:pt idx="1">
                  <c:v>Trentino-Alto Adige/Südtirol</c:v>
                </c:pt>
                <c:pt idx="2">
                  <c:v>Trento</c:v>
                </c:pt>
                <c:pt idx="3">
                  <c:v>Valle d'Aosta/Vallée d'Aoste</c:v>
                </c:pt>
                <c:pt idx="4">
                  <c:v>Friuli-Venezia Giulia</c:v>
                </c:pt>
                <c:pt idx="5">
                  <c:v>Sardegna</c:v>
                </c:pt>
                <c:pt idx="6">
                  <c:v>Emilia-Romagna</c:v>
                </c:pt>
                <c:pt idx="7">
                  <c:v>Lazio</c:v>
                </c:pt>
                <c:pt idx="8">
                  <c:v>Lombardia</c:v>
                </c:pt>
                <c:pt idx="9">
                  <c:v>Toscana</c:v>
                </c:pt>
                <c:pt idx="10">
                  <c:v>Liguria</c:v>
                </c:pt>
                <c:pt idx="11">
                  <c:v>Piemonte</c:v>
                </c:pt>
                <c:pt idx="12">
                  <c:v>Italia</c:v>
                </c:pt>
                <c:pt idx="13">
                  <c:v>Marche</c:v>
                </c:pt>
                <c:pt idx="14">
                  <c:v>Veneto</c:v>
                </c:pt>
                <c:pt idx="15">
                  <c:v>Puglia</c:v>
                </c:pt>
                <c:pt idx="16">
                  <c:v>Umbria</c:v>
                </c:pt>
                <c:pt idx="17">
                  <c:v>Sicilia</c:v>
                </c:pt>
                <c:pt idx="18">
                  <c:v>Molise</c:v>
                </c:pt>
                <c:pt idx="19">
                  <c:v>Abruzzo</c:v>
                </c:pt>
                <c:pt idx="20">
                  <c:v>Campania</c:v>
                </c:pt>
                <c:pt idx="21">
                  <c:v>Basilicata</c:v>
                </c:pt>
                <c:pt idx="22">
                  <c:v>Calabria</c:v>
                </c:pt>
              </c:strCache>
            </c:strRef>
          </c:cat>
          <c:val>
            <c:numRef>
              <c:f>'Figura 5'!$C$2:$C$24</c:f>
              <c:numCache>
                <c:formatCode>_(* #,##0_);_(* \(#,##0\);_(* "-"_);_(@_)</c:formatCode>
                <c:ptCount val="23"/>
                <c:pt idx="0">
                  <c:v>0</c:v>
                </c:pt>
                <c:pt idx="1">
                  <c:v>42</c:v>
                </c:pt>
                <c:pt idx="2">
                  <c:v>83</c:v>
                </c:pt>
                <c:pt idx="3">
                  <c:v>90</c:v>
                </c:pt>
                <c:pt idx="4">
                  <c:v>0</c:v>
                </c:pt>
                <c:pt idx="5">
                  <c:v>3</c:v>
                </c:pt>
                <c:pt idx="6">
                  <c:v>0</c:v>
                </c:pt>
                <c:pt idx="7" formatCode="General">
                  <c:v>1</c:v>
                </c:pt>
                <c:pt idx="8">
                  <c:v>0</c:v>
                </c:pt>
                <c:pt idx="9">
                  <c:v>1</c:v>
                </c:pt>
                <c:pt idx="10">
                  <c:v>9</c:v>
                </c:pt>
                <c:pt idx="11">
                  <c:v>0</c:v>
                </c:pt>
                <c:pt idx="12">
                  <c:v>4</c:v>
                </c:pt>
                <c:pt idx="13">
                  <c:v>0</c:v>
                </c:pt>
                <c:pt idx="14">
                  <c:v>2</c:v>
                </c:pt>
                <c:pt idx="15">
                  <c:v>23</c:v>
                </c:pt>
                <c:pt idx="16">
                  <c:v>0</c:v>
                </c:pt>
                <c:pt idx="17">
                  <c:v>5</c:v>
                </c:pt>
                <c:pt idx="18">
                  <c:v>0</c:v>
                </c:pt>
                <c:pt idx="19">
                  <c:v>0</c:v>
                </c:pt>
                <c:pt idx="20">
                  <c:v>0</c:v>
                </c:pt>
                <c:pt idx="21">
                  <c:v>0</c:v>
                </c:pt>
                <c:pt idx="22">
                  <c:v>5</c:v>
                </c:pt>
              </c:numCache>
            </c:numRef>
          </c:val>
          <c:extLst>
            <c:ext xmlns:c16="http://schemas.microsoft.com/office/drawing/2014/chart" uri="{C3380CC4-5D6E-409C-BE32-E72D297353CC}">
              <c16:uniqueId val="{00000007-C0C4-4CDC-9A3A-791415D42C43}"/>
            </c:ext>
          </c:extLst>
        </c:ser>
        <c:dLbls>
          <c:showLegendKey val="0"/>
          <c:showVal val="0"/>
          <c:showCatName val="0"/>
          <c:showSerName val="0"/>
          <c:showPercent val="0"/>
          <c:showBubbleSize val="0"/>
        </c:dLbls>
        <c:gapWidth val="55"/>
        <c:overlap val="100"/>
        <c:axId val="722206480"/>
        <c:axId val="722208560"/>
      </c:barChart>
      <c:catAx>
        <c:axId val="722206480"/>
        <c:scaling>
          <c:orientation val="minMax"/>
        </c:scaling>
        <c:delete val="0"/>
        <c:axPos val="b"/>
        <c:majorGridlines>
          <c:spPr>
            <a:ln w="3175" cap="flat" cmpd="sng" algn="ctr">
              <a:solidFill>
                <a:schemeClr val="bg1"/>
              </a:solidFill>
              <a:round/>
            </a:ln>
            <a:effectLst/>
          </c:spPr>
        </c:majorGridlines>
        <c:numFmt formatCode="General" sourceLinked="1"/>
        <c:majorTickMark val="out"/>
        <c:minorTickMark val="none"/>
        <c:tickLblPos val="nextTo"/>
        <c:spPr>
          <a:noFill/>
          <a:ln w="12700" cap="flat" cmpd="sng" algn="ctr">
            <a:solidFill>
              <a:schemeClr val="bg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Narrow" panose="020B0606020202030204" pitchFamily="34" charset="0"/>
                <a:ea typeface="+mn-ea"/>
                <a:cs typeface="+mn-cs"/>
              </a:defRPr>
            </a:pPr>
            <a:endParaRPr lang="it-IT"/>
          </a:p>
        </c:txPr>
        <c:crossAx val="722208560"/>
        <c:crosses val="autoZero"/>
        <c:auto val="1"/>
        <c:lblAlgn val="ctr"/>
        <c:lblOffset val="100"/>
        <c:noMultiLvlLbl val="0"/>
      </c:catAx>
      <c:valAx>
        <c:axId val="722208560"/>
        <c:scaling>
          <c:orientation val="minMax"/>
        </c:scaling>
        <c:delete val="0"/>
        <c:axPos val="l"/>
        <c:majorGridlines>
          <c:spPr>
            <a:ln w="3175" cap="flat" cmpd="sng" algn="ctr">
              <a:solidFill>
                <a:schemeClr val="bg1"/>
              </a:solidFill>
              <a:round/>
            </a:ln>
            <a:effectLst/>
          </c:spPr>
        </c:majorGridlines>
        <c:numFmt formatCode="_(* #,##0_);_(* \(#,##0\);_(* &quot;-&quot;_);_(@_)" sourceLinked="1"/>
        <c:majorTickMark val="out"/>
        <c:minorTickMark val="none"/>
        <c:tickLblPos val="nextTo"/>
        <c:spPr>
          <a:noFill/>
          <a:ln w="12700">
            <a:solidFill>
              <a:schemeClr val="bg1"/>
            </a:solidFill>
          </a:ln>
          <a:effectLst/>
        </c:spPr>
        <c:txPr>
          <a:bodyPr rot="-60000000" spcFirstLastPara="1" vertOverflow="ellipsis" vert="horz" wrap="square" anchor="ctr" anchorCtr="1"/>
          <a:lstStyle/>
          <a:p>
            <a:pPr>
              <a:defRPr sz="800" b="0" i="0" u="none" strike="noStrike" kern="1200" baseline="0">
                <a:solidFill>
                  <a:schemeClr val="tx1"/>
                </a:solidFill>
                <a:latin typeface="Arial Narrow" panose="020B0606020202030204" pitchFamily="34" charset="0"/>
                <a:ea typeface="+mn-ea"/>
                <a:cs typeface="+mn-cs"/>
              </a:defRPr>
            </a:pPr>
            <a:endParaRPr lang="it-IT"/>
          </a:p>
        </c:txPr>
        <c:crossAx val="722206480"/>
        <c:crosses val="autoZero"/>
        <c:crossBetween val="between"/>
      </c:valAx>
      <c:spPr>
        <a:noFill/>
        <a:ln>
          <a:noFill/>
        </a:ln>
        <a:effectLst/>
      </c:spPr>
    </c:plotArea>
    <c:legend>
      <c:legendPos val="b"/>
      <c:layout>
        <c:manualLayout>
          <c:xMode val="edge"/>
          <c:yMode val="edge"/>
          <c:x val="0.20940177911734684"/>
          <c:y val="6.1615459832226873E-3"/>
          <c:w val="0.58275282553966468"/>
          <c:h val="6.0811236433283684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Narrow" panose="020B0606020202030204" pitchFamily="34" charset="0"/>
              <a:ea typeface="+mn-ea"/>
              <a:cs typeface="+mn-cs"/>
            </a:defRPr>
          </a:pPr>
          <a:endParaRPr lang="it-IT"/>
        </a:p>
      </c:txPr>
    </c:legend>
    <c:plotVisOnly val="1"/>
    <c:dispBlanksAs val="gap"/>
    <c:showDLblsOverMax val="0"/>
  </c:chart>
  <c:spPr>
    <a:noFill/>
    <a:ln w="9525" cap="flat" cmpd="sng" algn="ctr">
      <a:noFill/>
      <a:round/>
    </a:ln>
    <a:effectLst/>
  </c:spPr>
  <c:txPr>
    <a:bodyPr/>
    <a:lstStyle/>
    <a:p>
      <a:pPr>
        <a:defRPr sz="800" b="0">
          <a:solidFill>
            <a:schemeClr val="tx1"/>
          </a:solidFill>
          <a:latin typeface="Arial Narrow" panose="020B0606020202030204" pitchFamily="34" charset="0"/>
        </a:defRPr>
      </a:pPr>
      <a:endParaRPr lang="it-I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1903540529516052E-2"/>
          <c:y val="0.12497064691731054"/>
          <c:w val="0.93592351046826661"/>
          <c:h val="0.76826829128110807"/>
        </c:manualLayout>
      </c:layout>
      <c:barChart>
        <c:barDir val="col"/>
        <c:grouping val="clustered"/>
        <c:varyColors val="0"/>
        <c:ser>
          <c:idx val="0"/>
          <c:order val="0"/>
          <c:tx>
            <c:strRef>
              <c:f>Foglio1!$B$1</c:f>
              <c:strCache>
                <c:ptCount val="1"/>
                <c:pt idx="0">
                  <c:v>Contributi economici </c:v>
                </c:pt>
              </c:strCache>
            </c:strRef>
          </c:tx>
          <c:spPr>
            <a:solidFill>
              <a:srgbClr val="1F497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Arial Narrow" panose="020B0606020202030204" pitchFamily="34" charset="0"/>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Foglio1!$A$2:$A$7</c:f>
              <c:strCache>
                <c:ptCount val="6"/>
                <c:pt idx="0">
                  <c:v>Nord-ovest</c:v>
                </c:pt>
                <c:pt idx="1">
                  <c:v>Nord-est</c:v>
                </c:pt>
                <c:pt idx="2">
                  <c:v>Centro</c:v>
                </c:pt>
                <c:pt idx="3">
                  <c:v>Sud</c:v>
                </c:pt>
                <c:pt idx="4">
                  <c:v>Isole</c:v>
                </c:pt>
                <c:pt idx="5">
                  <c:v>Italia</c:v>
                </c:pt>
              </c:strCache>
            </c:strRef>
          </c:cat>
          <c:val>
            <c:numRef>
              <c:f>Foglio1!$B$2:$B$7</c:f>
              <c:numCache>
                <c:formatCode>General</c:formatCode>
                <c:ptCount val="6"/>
                <c:pt idx="0">
                  <c:v>78.8</c:v>
                </c:pt>
                <c:pt idx="1">
                  <c:v>84.1</c:v>
                </c:pt>
                <c:pt idx="2">
                  <c:v>60.8</c:v>
                </c:pt>
                <c:pt idx="3">
                  <c:v>41.1</c:v>
                </c:pt>
                <c:pt idx="4">
                  <c:v>45.4</c:v>
                </c:pt>
                <c:pt idx="5">
                  <c:v>65.5</c:v>
                </c:pt>
              </c:numCache>
            </c:numRef>
          </c:val>
          <c:extLst>
            <c:ext xmlns:c16="http://schemas.microsoft.com/office/drawing/2014/chart" uri="{C3380CC4-5D6E-409C-BE32-E72D297353CC}">
              <c16:uniqueId val="{00000000-7D73-4B18-9454-E3624E26016D}"/>
            </c:ext>
          </c:extLst>
        </c:ser>
        <c:ser>
          <c:idx val="1"/>
          <c:order val="1"/>
          <c:tx>
            <c:strRef>
              <c:f>Foglio1!$C$1</c:f>
              <c:strCache>
                <c:ptCount val="1"/>
                <c:pt idx="0">
                  <c:v>Sostegno alla genitorialità</c:v>
                </c:pt>
              </c:strCache>
            </c:strRef>
          </c:tx>
          <c:spPr>
            <a:solidFill>
              <a:srgbClr val="E4261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Arial Narrow" panose="020B0606020202030204" pitchFamily="34" charset="0"/>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Foglio1!$A$2:$A$7</c:f>
              <c:strCache>
                <c:ptCount val="6"/>
                <c:pt idx="0">
                  <c:v>Nord-ovest</c:v>
                </c:pt>
                <c:pt idx="1">
                  <c:v>Nord-est</c:v>
                </c:pt>
                <c:pt idx="2">
                  <c:v>Centro</c:v>
                </c:pt>
                <c:pt idx="3">
                  <c:v>Sud</c:v>
                </c:pt>
                <c:pt idx="4">
                  <c:v>Isole</c:v>
                </c:pt>
                <c:pt idx="5">
                  <c:v>Italia</c:v>
                </c:pt>
              </c:strCache>
            </c:strRef>
          </c:cat>
          <c:val>
            <c:numRef>
              <c:f>Foglio1!$C$2:$C$7</c:f>
              <c:numCache>
                <c:formatCode>General</c:formatCode>
                <c:ptCount val="6"/>
                <c:pt idx="0">
                  <c:v>75.900000000000006</c:v>
                </c:pt>
                <c:pt idx="1">
                  <c:v>68.5</c:v>
                </c:pt>
                <c:pt idx="2">
                  <c:v>45.8</c:v>
                </c:pt>
                <c:pt idx="3">
                  <c:v>37.700000000000003</c:v>
                </c:pt>
                <c:pt idx="4">
                  <c:v>38.200000000000003</c:v>
                </c:pt>
                <c:pt idx="5">
                  <c:v>58.5</c:v>
                </c:pt>
              </c:numCache>
            </c:numRef>
          </c:val>
          <c:extLst>
            <c:ext xmlns:c16="http://schemas.microsoft.com/office/drawing/2014/chart" uri="{C3380CC4-5D6E-409C-BE32-E72D297353CC}">
              <c16:uniqueId val="{00000001-7D73-4B18-9454-E3624E26016D}"/>
            </c:ext>
          </c:extLst>
        </c:ser>
        <c:ser>
          <c:idx val="2"/>
          <c:order val="2"/>
          <c:tx>
            <c:strRef>
              <c:f>Foglio1!$D$1</c:f>
              <c:strCache>
                <c:ptCount val="1"/>
                <c:pt idx="0">
                  <c:v>Centri per le famiglie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Arial Narrow" panose="020B0606020202030204" pitchFamily="34" charset="0"/>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Foglio1!$A$2:$A$7</c:f>
              <c:strCache>
                <c:ptCount val="6"/>
                <c:pt idx="0">
                  <c:v>Nord-ovest</c:v>
                </c:pt>
                <c:pt idx="1">
                  <c:v>Nord-est</c:v>
                </c:pt>
                <c:pt idx="2">
                  <c:v>Centro</c:v>
                </c:pt>
                <c:pt idx="3">
                  <c:v>Sud</c:v>
                </c:pt>
                <c:pt idx="4">
                  <c:v>Isole</c:v>
                </c:pt>
                <c:pt idx="5">
                  <c:v>Italia</c:v>
                </c:pt>
              </c:strCache>
            </c:strRef>
          </c:cat>
          <c:val>
            <c:numRef>
              <c:f>Foglio1!$D$2:$D$7</c:f>
              <c:numCache>
                <c:formatCode>General</c:formatCode>
                <c:ptCount val="6"/>
                <c:pt idx="0">
                  <c:v>32.4</c:v>
                </c:pt>
                <c:pt idx="1">
                  <c:v>16.2</c:v>
                </c:pt>
                <c:pt idx="2">
                  <c:v>17.7</c:v>
                </c:pt>
                <c:pt idx="3">
                  <c:v>15.7</c:v>
                </c:pt>
                <c:pt idx="4">
                  <c:v>3.5</c:v>
                </c:pt>
                <c:pt idx="5">
                  <c:v>21.2</c:v>
                </c:pt>
              </c:numCache>
            </c:numRef>
          </c:val>
          <c:extLst>
            <c:ext xmlns:c16="http://schemas.microsoft.com/office/drawing/2014/chart" uri="{C3380CC4-5D6E-409C-BE32-E72D297353CC}">
              <c16:uniqueId val="{00000002-7D73-4B18-9454-E3624E26016D}"/>
            </c:ext>
          </c:extLst>
        </c:ser>
        <c:dLbls>
          <c:showLegendKey val="0"/>
          <c:showVal val="0"/>
          <c:showCatName val="0"/>
          <c:showSerName val="0"/>
          <c:showPercent val="0"/>
          <c:showBubbleSize val="0"/>
        </c:dLbls>
        <c:gapWidth val="90"/>
        <c:axId val="890775200"/>
        <c:axId val="890771040"/>
      </c:barChart>
      <c:catAx>
        <c:axId val="890775200"/>
        <c:scaling>
          <c:orientation val="minMax"/>
        </c:scaling>
        <c:delete val="0"/>
        <c:axPos val="b"/>
        <c:majorGridlines>
          <c:spPr>
            <a:ln w="3175" cap="flat" cmpd="sng" algn="ctr">
              <a:solidFill>
                <a:schemeClr val="bg1"/>
              </a:solidFill>
              <a:round/>
            </a:ln>
            <a:effectLst/>
          </c:spPr>
        </c:majorGridlines>
        <c:numFmt formatCode="General" sourceLinked="1"/>
        <c:majorTickMark val="out"/>
        <c:minorTickMark val="none"/>
        <c:tickLblPos val="nextTo"/>
        <c:spPr>
          <a:noFill/>
          <a:ln w="12700" cap="flat" cmpd="sng" algn="ctr">
            <a:solidFill>
              <a:schemeClr val="bg1"/>
            </a:solidFill>
            <a:round/>
          </a:ln>
          <a:effectLst/>
        </c:spPr>
        <c:txPr>
          <a:bodyPr rot="-60000000" spcFirstLastPara="1" vertOverflow="ellipsis" vert="horz" wrap="square" anchor="ctr" anchorCtr="1"/>
          <a:lstStyle/>
          <a:p>
            <a:pPr>
              <a:defRPr sz="800" b="1" i="0" u="none" strike="noStrike" kern="1200" baseline="0">
                <a:solidFill>
                  <a:schemeClr val="tx1">
                    <a:lumMod val="85000"/>
                    <a:lumOff val="15000"/>
                  </a:schemeClr>
                </a:solidFill>
                <a:latin typeface="Arial Narrow" panose="020B0606020202030204" pitchFamily="34" charset="0"/>
                <a:ea typeface="+mn-ea"/>
                <a:cs typeface="+mn-cs"/>
              </a:defRPr>
            </a:pPr>
            <a:endParaRPr lang="it-IT"/>
          </a:p>
        </c:txPr>
        <c:crossAx val="890771040"/>
        <c:crosses val="autoZero"/>
        <c:auto val="1"/>
        <c:lblAlgn val="ctr"/>
        <c:lblOffset val="100"/>
        <c:noMultiLvlLbl val="0"/>
      </c:catAx>
      <c:valAx>
        <c:axId val="890771040"/>
        <c:scaling>
          <c:orientation val="minMax"/>
        </c:scaling>
        <c:delete val="0"/>
        <c:axPos val="l"/>
        <c:majorGridlines>
          <c:spPr>
            <a:ln w="3175" cap="flat" cmpd="sng" algn="ctr">
              <a:solidFill>
                <a:schemeClr val="bg1"/>
              </a:solidFill>
              <a:round/>
            </a:ln>
            <a:effectLst/>
          </c:spPr>
        </c:majorGridlines>
        <c:numFmt formatCode="General" sourceLinked="1"/>
        <c:majorTickMark val="out"/>
        <c:minorTickMark val="none"/>
        <c:tickLblPos val="nextTo"/>
        <c:spPr>
          <a:noFill/>
          <a:ln w="12700">
            <a:solidFill>
              <a:schemeClr val="bg1"/>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Arial Narrow" panose="020B0606020202030204" pitchFamily="34" charset="0"/>
                <a:ea typeface="+mn-ea"/>
                <a:cs typeface="+mn-cs"/>
              </a:defRPr>
            </a:pPr>
            <a:endParaRPr lang="it-IT"/>
          </a:p>
        </c:txPr>
        <c:crossAx val="89077520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Arial Narrow" panose="020B0606020202030204" pitchFamily="34" charset="0"/>
              <a:ea typeface="+mn-ea"/>
              <a:cs typeface="+mn-cs"/>
            </a:defRPr>
          </a:pPr>
          <a:endParaRPr lang="it-IT"/>
        </a:p>
      </c:txPr>
    </c:legend>
    <c:plotVisOnly val="1"/>
    <c:dispBlanksAs val="gap"/>
    <c:showDLblsOverMax val="0"/>
  </c:chart>
  <c:spPr>
    <a:noFill/>
    <a:ln w="9525" cap="flat" cmpd="sng" algn="ctr">
      <a:noFill/>
      <a:round/>
    </a:ln>
    <a:effectLst/>
  </c:spPr>
  <c:txPr>
    <a:bodyPr/>
    <a:lstStyle/>
    <a:p>
      <a:pPr>
        <a:defRPr sz="800">
          <a:solidFill>
            <a:schemeClr val="tx1">
              <a:lumMod val="85000"/>
              <a:lumOff val="15000"/>
            </a:schemeClr>
          </a:solidFill>
          <a:latin typeface="Arial Narrow" panose="020B0606020202030204" pitchFamily="34" charset="0"/>
        </a:defRPr>
      </a:pPr>
      <a:endParaRPr lang="it-I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478075445165198E-2"/>
          <c:y val="0.14520127606999941"/>
          <c:w val="0.90734897555261751"/>
          <c:h val="0.47635066108539709"/>
        </c:manualLayout>
      </c:layout>
      <c:barChart>
        <c:barDir val="col"/>
        <c:grouping val="percentStacked"/>
        <c:varyColors val="0"/>
        <c:ser>
          <c:idx val="0"/>
          <c:order val="0"/>
          <c:tx>
            <c:strRef>
              <c:f>'[tabella e grafici.xlsx]figura 3'!$F$3</c:f>
              <c:strCache>
                <c:ptCount val="1"/>
                <c:pt idx="0">
                  <c:v>Strutture</c:v>
                </c:pt>
              </c:strCache>
            </c:strRef>
          </c:tx>
          <c:spPr>
            <a:solidFill>
              <a:srgbClr val="1F497D"/>
            </a:solidFill>
            <a:ln>
              <a:noFill/>
            </a:ln>
            <a:effectLst/>
          </c:spPr>
          <c:invertIfNegative val="0"/>
          <c:dPt>
            <c:idx val="21"/>
            <c:invertIfNegative val="0"/>
            <c:bubble3D val="0"/>
            <c:spPr>
              <a:solidFill>
                <a:srgbClr val="1F497D"/>
              </a:solidFill>
              <a:ln>
                <a:noFill/>
              </a:ln>
              <a:effectLst/>
            </c:spPr>
            <c:extLst>
              <c:ext xmlns:c16="http://schemas.microsoft.com/office/drawing/2014/chart" uri="{C3380CC4-5D6E-409C-BE32-E72D297353CC}">
                <c16:uniqueId val="{00000001-A5A2-467D-9258-528349657367}"/>
              </c:ext>
            </c:extLst>
          </c:dPt>
          <c:cat>
            <c:strRef>
              <c:f>'[tabella e grafici.xlsx]figura 3'!$B$4:$D$26</c:f>
              <c:strCache>
                <c:ptCount val="23"/>
                <c:pt idx="0">
                  <c:v>Piemonte</c:v>
                </c:pt>
                <c:pt idx="1">
                  <c:v>Valle d'Aosta/Vallée d'Aoste</c:v>
                </c:pt>
                <c:pt idx="2">
                  <c:v>Liguria</c:v>
                </c:pt>
                <c:pt idx="3">
                  <c:v>Lombardia</c:v>
                </c:pt>
                <c:pt idx="4">
                  <c:v>Trentino-Alto Adige/Südtirol</c:v>
                </c:pt>
                <c:pt idx="5">
                  <c:v>Bolzano/Bozen</c:v>
                </c:pt>
                <c:pt idx="6">
                  <c:v>Trento</c:v>
                </c:pt>
                <c:pt idx="7">
                  <c:v>Veneto</c:v>
                </c:pt>
                <c:pt idx="8">
                  <c:v>Friuli-Venezia Giulia</c:v>
                </c:pt>
                <c:pt idx="9">
                  <c:v>Emilia-Romagna</c:v>
                </c:pt>
                <c:pt idx="10">
                  <c:v>Toscana</c:v>
                </c:pt>
                <c:pt idx="11">
                  <c:v>Umbria</c:v>
                </c:pt>
                <c:pt idx="12">
                  <c:v>Marche</c:v>
                </c:pt>
                <c:pt idx="13">
                  <c:v>Lazio</c:v>
                </c:pt>
                <c:pt idx="14">
                  <c:v>Abruzzo</c:v>
                </c:pt>
                <c:pt idx="15">
                  <c:v>Molise</c:v>
                </c:pt>
                <c:pt idx="16">
                  <c:v>Campania</c:v>
                </c:pt>
                <c:pt idx="17">
                  <c:v>Puglia</c:v>
                </c:pt>
                <c:pt idx="18">
                  <c:v>Basilicata</c:v>
                </c:pt>
                <c:pt idx="19">
                  <c:v>Calabria</c:v>
                </c:pt>
                <c:pt idx="20">
                  <c:v>Sicilia</c:v>
                </c:pt>
                <c:pt idx="21">
                  <c:v>Sardegna</c:v>
                </c:pt>
                <c:pt idx="22">
                  <c:v>ITALIA</c:v>
                </c:pt>
              </c:strCache>
            </c:strRef>
          </c:cat>
          <c:val>
            <c:numRef>
              <c:f>'[tabella e grafici.xlsx]figura 3'!$F$4:$F$26</c:f>
              <c:numCache>
                <c:formatCode>0%</c:formatCode>
                <c:ptCount val="23"/>
                <c:pt idx="0">
                  <c:v>0.21670010339428886</c:v>
                </c:pt>
                <c:pt idx="1">
                  <c:v>0.14804768534606216</c:v>
                </c:pt>
                <c:pt idx="2">
                  <c:v>0.20535282492494383</c:v>
                </c:pt>
                <c:pt idx="3">
                  <c:v>0.24932734754327285</c:v>
                </c:pt>
                <c:pt idx="4">
                  <c:v>0.14766470833050593</c:v>
                </c:pt>
                <c:pt idx="5">
                  <c:v>0.14375173510483183</c:v>
                </c:pt>
                <c:pt idx="6">
                  <c:v>0.15158213546819793</c:v>
                </c:pt>
                <c:pt idx="7">
                  <c:v>0.19732322032163402</c:v>
                </c:pt>
                <c:pt idx="8">
                  <c:v>0.26596751683305697</c:v>
                </c:pt>
                <c:pt idx="9">
                  <c:v>0.16731066399632621</c:v>
                </c:pt>
                <c:pt idx="10">
                  <c:v>0.17352604975999347</c:v>
                </c:pt>
                <c:pt idx="11">
                  <c:v>0.1887909360496568</c:v>
                </c:pt>
                <c:pt idx="12">
                  <c:v>0.21251890164153134</c:v>
                </c:pt>
                <c:pt idx="13">
                  <c:v>0.18125697745968208</c:v>
                </c:pt>
                <c:pt idx="14">
                  <c:v>0.27406551049497596</c:v>
                </c:pt>
                <c:pt idx="15">
                  <c:v>0.24624459918391711</c:v>
                </c:pt>
                <c:pt idx="16">
                  <c:v>0.29972385259593387</c:v>
                </c:pt>
                <c:pt idx="17">
                  <c:v>0.27861209643367946</c:v>
                </c:pt>
                <c:pt idx="18">
                  <c:v>0.2606150381277656</c:v>
                </c:pt>
                <c:pt idx="19">
                  <c:v>0.13934030041337231</c:v>
                </c:pt>
                <c:pt idx="20">
                  <c:v>0.40475996399642428</c:v>
                </c:pt>
                <c:pt idx="21">
                  <c:v>0.22046757030619768</c:v>
                </c:pt>
                <c:pt idx="22">
                  <c:v>0.22183772080500497</c:v>
                </c:pt>
              </c:numCache>
            </c:numRef>
          </c:val>
          <c:extLst>
            <c:ext xmlns:c16="http://schemas.microsoft.com/office/drawing/2014/chart" uri="{C3380CC4-5D6E-409C-BE32-E72D297353CC}">
              <c16:uniqueId val="{00000002-A5A2-467D-9258-528349657367}"/>
            </c:ext>
          </c:extLst>
        </c:ser>
        <c:ser>
          <c:idx val="1"/>
          <c:order val="1"/>
          <c:tx>
            <c:strRef>
              <c:f>'[tabella e grafici.xlsx]figura 3'!$G$3</c:f>
              <c:strCache>
                <c:ptCount val="1"/>
                <c:pt idx="0">
                  <c:v>Contributi</c:v>
                </c:pt>
              </c:strCache>
            </c:strRef>
          </c:tx>
          <c:spPr>
            <a:solidFill>
              <a:srgbClr val="E42618"/>
            </a:solidFill>
            <a:ln>
              <a:noFill/>
            </a:ln>
            <a:effectLst/>
          </c:spPr>
          <c:invertIfNegative val="0"/>
          <c:dPt>
            <c:idx val="21"/>
            <c:invertIfNegative val="0"/>
            <c:bubble3D val="0"/>
            <c:spPr>
              <a:solidFill>
                <a:srgbClr val="E42618"/>
              </a:solidFill>
              <a:ln>
                <a:noFill/>
              </a:ln>
              <a:effectLst/>
            </c:spPr>
            <c:extLst>
              <c:ext xmlns:c16="http://schemas.microsoft.com/office/drawing/2014/chart" uri="{C3380CC4-5D6E-409C-BE32-E72D297353CC}">
                <c16:uniqueId val="{00000004-A5A2-467D-9258-528349657367}"/>
              </c:ext>
            </c:extLst>
          </c:dPt>
          <c:cat>
            <c:strRef>
              <c:f>'[tabella e grafici.xlsx]figura 3'!$B$4:$D$26</c:f>
              <c:strCache>
                <c:ptCount val="23"/>
                <c:pt idx="0">
                  <c:v>Piemonte</c:v>
                </c:pt>
                <c:pt idx="1">
                  <c:v>Valle d'Aosta/Vallée d'Aoste</c:v>
                </c:pt>
                <c:pt idx="2">
                  <c:v>Liguria</c:v>
                </c:pt>
                <c:pt idx="3">
                  <c:v>Lombardia</c:v>
                </c:pt>
                <c:pt idx="4">
                  <c:v>Trentino-Alto Adige/Südtirol</c:v>
                </c:pt>
                <c:pt idx="5">
                  <c:v>Bolzano/Bozen</c:v>
                </c:pt>
                <c:pt idx="6">
                  <c:v>Trento</c:v>
                </c:pt>
                <c:pt idx="7">
                  <c:v>Veneto</c:v>
                </c:pt>
                <c:pt idx="8">
                  <c:v>Friuli-Venezia Giulia</c:v>
                </c:pt>
                <c:pt idx="9">
                  <c:v>Emilia-Romagna</c:v>
                </c:pt>
                <c:pt idx="10">
                  <c:v>Toscana</c:v>
                </c:pt>
                <c:pt idx="11">
                  <c:v>Umbria</c:v>
                </c:pt>
                <c:pt idx="12">
                  <c:v>Marche</c:v>
                </c:pt>
                <c:pt idx="13">
                  <c:v>Lazio</c:v>
                </c:pt>
                <c:pt idx="14">
                  <c:v>Abruzzo</c:v>
                </c:pt>
                <c:pt idx="15">
                  <c:v>Molise</c:v>
                </c:pt>
                <c:pt idx="16">
                  <c:v>Campania</c:v>
                </c:pt>
                <c:pt idx="17">
                  <c:v>Puglia</c:v>
                </c:pt>
                <c:pt idx="18">
                  <c:v>Basilicata</c:v>
                </c:pt>
                <c:pt idx="19">
                  <c:v>Calabria</c:v>
                </c:pt>
                <c:pt idx="20">
                  <c:v>Sicilia</c:v>
                </c:pt>
                <c:pt idx="21">
                  <c:v>Sardegna</c:v>
                </c:pt>
                <c:pt idx="22">
                  <c:v>ITALIA</c:v>
                </c:pt>
              </c:strCache>
            </c:strRef>
          </c:cat>
          <c:val>
            <c:numRef>
              <c:f>'[tabella e grafici.xlsx]figura 3'!$G$4:$G$26</c:f>
              <c:numCache>
                <c:formatCode>0%</c:formatCode>
                <c:ptCount val="23"/>
                <c:pt idx="0">
                  <c:v>4.965856045314871E-2</c:v>
                </c:pt>
                <c:pt idx="1">
                  <c:v>2.7809881842928569E-2</c:v>
                </c:pt>
                <c:pt idx="2">
                  <c:v>3.9881953022099972E-2</c:v>
                </c:pt>
                <c:pt idx="3">
                  <c:v>6.1191285792450943E-2</c:v>
                </c:pt>
                <c:pt idx="4">
                  <c:v>0.31228309498873236</c:v>
                </c:pt>
                <c:pt idx="5">
                  <c:v>0.43512771684157564</c:v>
                </c:pt>
                <c:pt idx="6">
                  <c:v>0.189298646179237</c:v>
                </c:pt>
                <c:pt idx="7">
                  <c:v>7.3360659383149979E-2</c:v>
                </c:pt>
                <c:pt idx="8">
                  <c:v>6.0963213310645532E-2</c:v>
                </c:pt>
                <c:pt idx="9">
                  <c:v>6.6781216619548847E-2</c:v>
                </c:pt>
                <c:pt idx="10">
                  <c:v>7.0357780725046767E-2</c:v>
                </c:pt>
                <c:pt idx="11">
                  <c:v>4.3612018066855891E-2</c:v>
                </c:pt>
                <c:pt idx="12">
                  <c:v>6.6201205701900898E-2</c:v>
                </c:pt>
                <c:pt idx="13">
                  <c:v>2.0114006796725977E-2</c:v>
                </c:pt>
                <c:pt idx="14">
                  <c:v>3.0578173251384087E-2</c:v>
                </c:pt>
                <c:pt idx="15">
                  <c:v>6.3387872324161806E-2</c:v>
                </c:pt>
                <c:pt idx="16">
                  <c:v>2.0588330141627458E-2</c:v>
                </c:pt>
                <c:pt idx="17">
                  <c:v>4.6021288387773585E-2</c:v>
                </c:pt>
                <c:pt idx="18">
                  <c:v>4.3010237934145878E-2</c:v>
                </c:pt>
                <c:pt idx="19">
                  <c:v>7.9591855167902389E-2</c:v>
                </c:pt>
                <c:pt idx="20">
                  <c:v>3.1364659607222518E-2</c:v>
                </c:pt>
                <c:pt idx="21">
                  <c:v>7.3342349968579287E-2</c:v>
                </c:pt>
                <c:pt idx="22">
                  <c:v>6.6084432678358507E-2</c:v>
                </c:pt>
              </c:numCache>
            </c:numRef>
          </c:val>
          <c:extLst>
            <c:ext xmlns:c16="http://schemas.microsoft.com/office/drawing/2014/chart" uri="{C3380CC4-5D6E-409C-BE32-E72D297353CC}">
              <c16:uniqueId val="{00000005-A5A2-467D-9258-528349657367}"/>
            </c:ext>
          </c:extLst>
        </c:ser>
        <c:ser>
          <c:idx val="2"/>
          <c:order val="2"/>
          <c:tx>
            <c:strRef>
              <c:f>'[tabella e grafici.xlsx]figura 3'!$H$3</c:f>
              <c:strCache>
                <c:ptCount val="1"/>
                <c:pt idx="0">
                  <c:v>Assistenza domiciliare</c:v>
                </c:pt>
              </c:strCache>
            </c:strRef>
          </c:tx>
          <c:spPr>
            <a:solidFill>
              <a:schemeClr val="accent3"/>
            </a:solidFill>
            <a:ln>
              <a:noFill/>
            </a:ln>
            <a:effectLst/>
          </c:spPr>
          <c:invertIfNegative val="0"/>
          <c:dPt>
            <c:idx val="21"/>
            <c:invertIfNegative val="0"/>
            <c:bubble3D val="0"/>
            <c:spPr>
              <a:solidFill>
                <a:schemeClr val="accent3">
                  <a:lumMod val="50000"/>
                </a:schemeClr>
              </a:solidFill>
              <a:ln>
                <a:noFill/>
              </a:ln>
              <a:effectLst/>
            </c:spPr>
            <c:extLst>
              <c:ext xmlns:c16="http://schemas.microsoft.com/office/drawing/2014/chart" uri="{C3380CC4-5D6E-409C-BE32-E72D297353CC}">
                <c16:uniqueId val="{00000007-A5A2-467D-9258-528349657367}"/>
              </c:ext>
            </c:extLst>
          </c:dPt>
          <c:cat>
            <c:strRef>
              <c:f>'[tabella e grafici.xlsx]figura 3'!$B$4:$D$26</c:f>
              <c:strCache>
                <c:ptCount val="23"/>
                <c:pt idx="0">
                  <c:v>Piemonte</c:v>
                </c:pt>
                <c:pt idx="1">
                  <c:v>Valle d'Aosta/Vallée d'Aoste</c:v>
                </c:pt>
                <c:pt idx="2">
                  <c:v>Liguria</c:v>
                </c:pt>
                <c:pt idx="3">
                  <c:v>Lombardia</c:v>
                </c:pt>
                <c:pt idx="4">
                  <c:v>Trentino-Alto Adige/Südtirol</c:v>
                </c:pt>
                <c:pt idx="5">
                  <c:v>Bolzano/Bozen</c:v>
                </c:pt>
                <c:pt idx="6">
                  <c:v>Trento</c:v>
                </c:pt>
                <c:pt idx="7">
                  <c:v>Veneto</c:v>
                </c:pt>
                <c:pt idx="8">
                  <c:v>Friuli-Venezia Giulia</c:v>
                </c:pt>
                <c:pt idx="9">
                  <c:v>Emilia-Romagna</c:v>
                </c:pt>
                <c:pt idx="10">
                  <c:v>Toscana</c:v>
                </c:pt>
                <c:pt idx="11">
                  <c:v>Umbria</c:v>
                </c:pt>
                <c:pt idx="12">
                  <c:v>Marche</c:v>
                </c:pt>
                <c:pt idx="13">
                  <c:v>Lazio</c:v>
                </c:pt>
                <c:pt idx="14">
                  <c:v>Abruzzo</c:v>
                </c:pt>
                <c:pt idx="15">
                  <c:v>Molise</c:v>
                </c:pt>
                <c:pt idx="16">
                  <c:v>Campania</c:v>
                </c:pt>
                <c:pt idx="17">
                  <c:v>Puglia</c:v>
                </c:pt>
                <c:pt idx="18">
                  <c:v>Basilicata</c:v>
                </c:pt>
                <c:pt idx="19">
                  <c:v>Calabria</c:v>
                </c:pt>
                <c:pt idx="20">
                  <c:v>Sicilia</c:v>
                </c:pt>
                <c:pt idx="21">
                  <c:v>Sardegna</c:v>
                </c:pt>
                <c:pt idx="22">
                  <c:v>ITALIA</c:v>
                </c:pt>
              </c:strCache>
            </c:strRef>
          </c:cat>
          <c:val>
            <c:numRef>
              <c:f>'[tabella e grafici.xlsx]figura 3'!$H$4:$H$26</c:f>
              <c:numCache>
                <c:formatCode>0%</c:formatCode>
                <c:ptCount val="23"/>
                <c:pt idx="0">
                  <c:v>1.1059171614735498E-2</c:v>
                </c:pt>
                <c:pt idx="1">
                  <c:v>4.5138859248583735E-4</c:v>
                </c:pt>
                <c:pt idx="2">
                  <c:v>6.9771787011267492E-3</c:v>
                </c:pt>
                <c:pt idx="3">
                  <c:v>2.8984840053069429E-2</c:v>
                </c:pt>
                <c:pt idx="4">
                  <c:v>5.1004120429575905E-4</c:v>
                </c:pt>
                <c:pt idx="5">
                  <c:v>0</c:v>
                </c:pt>
                <c:pt idx="6">
                  <c:v>1.0206629591136991E-3</c:v>
                </c:pt>
                <c:pt idx="7">
                  <c:v>5.8054263748004804E-3</c:v>
                </c:pt>
                <c:pt idx="8">
                  <c:v>2.5699541099401496E-3</c:v>
                </c:pt>
                <c:pt idx="9">
                  <c:v>3.4354901340228252E-3</c:v>
                </c:pt>
                <c:pt idx="10">
                  <c:v>7.8055308348254117E-3</c:v>
                </c:pt>
                <c:pt idx="11">
                  <c:v>4.9691593565128124E-2</c:v>
                </c:pt>
                <c:pt idx="12">
                  <c:v>7.1415178942347921E-3</c:v>
                </c:pt>
                <c:pt idx="13">
                  <c:v>2.3913017098510982E-2</c:v>
                </c:pt>
                <c:pt idx="14">
                  <c:v>3.9744577423329687E-2</c:v>
                </c:pt>
                <c:pt idx="15">
                  <c:v>9.6080836612346069E-3</c:v>
                </c:pt>
                <c:pt idx="16">
                  <c:v>3.4659673581187038E-2</c:v>
                </c:pt>
                <c:pt idx="17">
                  <c:v>2.8642945832771809E-2</c:v>
                </c:pt>
                <c:pt idx="18">
                  <c:v>0.13928108016950122</c:v>
                </c:pt>
                <c:pt idx="19">
                  <c:v>1.3934616963303002E-2</c:v>
                </c:pt>
                <c:pt idx="20">
                  <c:v>1.8792753390789115E-2</c:v>
                </c:pt>
                <c:pt idx="21">
                  <c:v>1.3343130786039869E-2</c:v>
                </c:pt>
                <c:pt idx="22">
                  <c:v>1.7166879812415114E-2</c:v>
                </c:pt>
              </c:numCache>
            </c:numRef>
          </c:val>
          <c:extLst>
            <c:ext xmlns:c16="http://schemas.microsoft.com/office/drawing/2014/chart" uri="{C3380CC4-5D6E-409C-BE32-E72D297353CC}">
              <c16:uniqueId val="{00000008-A5A2-467D-9258-528349657367}"/>
            </c:ext>
          </c:extLst>
        </c:ser>
        <c:ser>
          <c:idx val="3"/>
          <c:order val="3"/>
          <c:tx>
            <c:strRef>
              <c:f>'[tabella e grafici.xlsx]figura 3'!$I$3</c:f>
              <c:strCache>
                <c:ptCount val="1"/>
                <c:pt idx="0">
                  <c:v>Interventi e servizi educativo-assistenziali</c:v>
                </c:pt>
              </c:strCache>
            </c:strRef>
          </c:tx>
          <c:spPr>
            <a:solidFill>
              <a:schemeClr val="accent4"/>
            </a:solidFill>
            <a:ln>
              <a:noFill/>
            </a:ln>
            <a:effectLst/>
          </c:spPr>
          <c:invertIfNegative val="0"/>
          <c:dPt>
            <c:idx val="21"/>
            <c:invertIfNegative val="0"/>
            <c:bubble3D val="0"/>
            <c:spPr>
              <a:solidFill>
                <a:schemeClr val="accent4"/>
              </a:solidFill>
              <a:ln>
                <a:noFill/>
              </a:ln>
              <a:effectLst/>
            </c:spPr>
            <c:extLst>
              <c:ext xmlns:c16="http://schemas.microsoft.com/office/drawing/2014/chart" uri="{C3380CC4-5D6E-409C-BE32-E72D297353CC}">
                <c16:uniqueId val="{0000000A-A5A2-467D-9258-528349657367}"/>
              </c:ext>
            </c:extLst>
          </c:dPt>
          <c:cat>
            <c:strRef>
              <c:f>'[tabella e grafici.xlsx]figura 3'!$B$4:$D$26</c:f>
              <c:strCache>
                <c:ptCount val="23"/>
                <c:pt idx="0">
                  <c:v>Piemonte</c:v>
                </c:pt>
                <c:pt idx="1">
                  <c:v>Valle d'Aosta/Vallée d'Aoste</c:v>
                </c:pt>
                <c:pt idx="2">
                  <c:v>Liguria</c:v>
                </c:pt>
                <c:pt idx="3">
                  <c:v>Lombardia</c:v>
                </c:pt>
                <c:pt idx="4">
                  <c:v>Trentino-Alto Adige/Südtirol</c:v>
                </c:pt>
                <c:pt idx="5">
                  <c:v>Bolzano/Bozen</c:v>
                </c:pt>
                <c:pt idx="6">
                  <c:v>Trento</c:v>
                </c:pt>
                <c:pt idx="7">
                  <c:v>Veneto</c:v>
                </c:pt>
                <c:pt idx="8">
                  <c:v>Friuli-Venezia Giulia</c:v>
                </c:pt>
                <c:pt idx="9">
                  <c:v>Emilia-Romagna</c:v>
                </c:pt>
                <c:pt idx="10">
                  <c:v>Toscana</c:v>
                </c:pt>
                <c:pt idx="11">
                  <c:v>Umbria</c:v>
                </c:pt>
                <c:pt idx="12">
                  <c:v>Marche</c:v>
                </c:pt>
                <c:pt idx="13">
                  <c:v>Lazio</c:v>
                </c:pt>
                <c:pt idx="14">
                  <c:v>Abruzzo</c:v>
                </c:pt>
                <c:pt idx="15">
                  <c:v>Molise</c:v>
                </c:pt>
                <c:pt idx="16">
                  <c:v>Campania</c:v>
                </c:pt>
                <c:pt idx="17">
                  <c:v>Puglia</c:v>
                </c:pt>
                <c:pt idx="18">
                  <c:v>Basilicata</c:v>
                </c:pt>
                <c:pt idx="19">
                  <c:v>Calabria</c:v>
                </c:pt>
                <c:pt idx="20">
                  <c:v>Sicilia</c:v>
                </c:pt>
                <c:pt idx="21">
                  <c:v>Sardegna</c:v>
                </c:pt>
                <c:pt idx="22">
                  <c:v>ITALIA</c:v>
                </c:pt>
              </c:strCache>
            </c:strRef>
          </c:cat>
          <c:val>
            <c:numRef>
              <c:f>'[tabella e grafici.xlsx]figura 3'!$I$4:$I$26</c:f>
              <c:numCache>
                <c:formatCode>0%</c:formatCode>
                <c:ptCount val="23"/>
                <c:pt idx="0">
                  <c:v>8.6001217196813612E-2</c:v>
                </c:pt>
                <c:pt idx="1">
                  <c:v>3.6927459479649725E-2</c:v>
                </c:pt>
                <c:pt idx="2">
                  <c:v>0.11226573952427256</c:v>
                </c:pt>
                <c:pt idx="3">
                  <c:v>8.1518617087029677E-2</c:v>
                </c:pt>
                <c:pt idx="4">
                  <c:v>9.8650673672135633E-3</c:v>
                </c:pt>
                <c:pt idx="5">
                  <c:v>0</c:v>
                </c:pt>
                <c:pt idx="6">
                  <c:v>1.9741363572338948E-2</c:v>
                </c:pt>
                <c:pt idx="7">
                  <c:v>5.2677300330880028E-2</c:v>
                </c:pt>
                <c:pt idx="8">
                  <c:v>6.2204238175004721E-2</c:v>
                </c:pt>
                <c:pt idx="9">
                  <c:v>6.5425436348187788E-2</c:v>
                </c:pt>
                <c:pt idx="10">
                  <c:v>6.1187055549944955E-2</c:v>
                </c:pt>
                <c:pt idx="11">
                  <c:v>2.9199996284863212E-2</c:v>
                </c:pt>
                <c:pt idx="12">
                  <c:v>5.5375443441558279E-2</c:v>
                </c:pt>
                <c:pt idx="13">
                  <c:v>3.6544618535941827E-2</c:v>
                </c:pt>
                <c:pt idx="14">
                  <c:v>0.12714602573034661</c:v>
                </c:pt>
                <c:pt idx="15">
                  <c:v>6.4203227203733157E-2</c:v>
                </c:pt>
                <c:pt idx="16">
                  <c:v>4.5741272797232474E-2</c:v>
                </c:pt>
                <c:pt idx="17">
                  <c:v>5.4206065475334866E-2</c:v>
                </c:pt>
                <c:pt idx="18">
                  <c:v>5.0032021042422374E-2</c:v>
                </c:pt>
                <c:pt idx="19">
                  <c:v>4.7175381807675373E-2</c:v>
                </c:pt>
                <c:pt idx="20">
                  <c:v>0.11400553694118785</c:v>
                </c:pt>
                <c:pt idx="21">
                  <c:v>0.18701449688259181</c:v>
                </c:pt>
                <c:pt idx="22">
                  <c:v>6.7934075192245452E-2</c:v>
                </c:pt>
              </c:numCache>
            </c:numRef>
          </c:val>
          <c:extLst>
            <c:ext xmlns:c16="http://schemas.microsoft.com/office/drawing/2014/chart" uri="{C3380CC4-5D6E-409C-BE32-E72D297353CC}">
              <c16:uniqueId val="{0000000B-A5A2-467D-9258-528349657367}"/>
            </c:ext>
          </c:extLst>
        </c:ser>
        <c:ser>
          <c:idx val="5"/>
          <c:order val="4"/>
          <c:tx>
            <c:strRef>
              <c:f>'[tabella e grafici.xlsx]figura 3'!$J$3</c:f>
              <c:strCache>
                <c:ptCount val="1"/>
                <c:pt idx="0">
                  <c:v>Servizi di affido, adozioni</c:v>
                </c:pt>
              </c:strCache>
            </c:strRef>
          </c:tx>
          <c:spPr>
            <a:solidFill>
              <a:schemeClr val="accent6"/>
            </a:solidFill>
            <a:ln>
              <a:noFill/>
            </a:ln>
            <a:effectLst/>
          </c:spPr>
          <c:invertIfNegative val="0"/>
          <c:val>
            <c:numRef>
              <c:f>'[tabella e grafici.xlsx]figura 3'!$J$4:$J$26</c:f>
              <c:numCache>
                <c:formatCode>0%</c:formatCode>
                <c:ptCount val="23"/>
                <c:pt idx="0">
                  <c:v>9.4609697482251495E-2</c:v>
                </c:pt>
                <c:pt idx="1">
                  <c:v>3.0273641841890318E-2</c:v>
                </c:pt>
                <c:pt idx="2">
                  <c:v>6.7633778939588329E-2</c:v>
                </c:pt>
                <c:pt idx="3">
                  <c:v>4.1486234862923861E-2</c:v>
                </c:pt>
                <c:pt idx="4">
                  <c:v>1.4115764401923825E-2</c:v>
                </c:pt>
                <c:pt idx="5">
                  <c:v>1.1520975714338726E-2</c:v>
                </c:pt>
                <c:pt idx="6">
                  <c:v>1.6713506588000495E-2</c:v>
                </c:pt>
                <c:pt idx="7">
                  <c:v>6.5247000374889272E-2</c:v>
                </c:pt>
                <c:pt idx="8">
                  <c:v>1.6916195923756865E-2</c:v>
                </c:pt>
                <c:pt idx="9">
                  <c:v>3.5652114535447171E-2</c:v>
                </c:pt>
                <c:pt idx="10">
                  <c:v>4.8277828397153735E-2</c:v>
                </c:pt>
                <c:pt idx="11">
                  <c:v>6.8627864308999587E-2</c:v>
                </c:pt>
                <c:pt idx="12">
                  <c:v>6.5713229020862907E-2</c:v>
                </c:pt>
                <c:pt idx="13">
                  <c:v>2.0277914995779377E-2</c:v>
                </c:pt>
                <c:pt idx="14">
                  <c:v>3.2294733830352841E-2</c:v>
                </c:pt>
                <c:pt idx="15">
                  <c:v>7.1384902102814798E-2</c:v>
                </c:pt>
                <c:pt idx="16">
                  <c:v>3.7354778701275633E-2</c:v>
                </c:pt>
                <c:pt idx="17">
                  <c:v>2.9347014195420355E-2</c:v>
                </c:pt>
                <c:pt idx="18">
                  <c:v>5.6257253979057523E-2</c:v>
                </c:pt>
                <c:pt idx="19">
                  <c:v>0.11510421888998154</c:v>
                </c:pt>
                <c:pt idx="20">
                  <c:v>4.3973957398353879E-2</c:v>
                </c:pt>
                <c:pt idx="21">
                  <c:v>3.1446107116211076E-2</c:v>
                </c:pt>
                <c:pt idx="22">
                  <c:v>4.2887722478244072E-2</c:v>
                </c:pt>
              </c:numCache>
            </c:numRef>
          </c:val>
          <c:extLst>
            <c:ext xmlns:c16="http://schemas.microsoft.com/office/drawing/2014/chart" uri="{C3380CC4-5D6E-409C-BE32-E72D297353CC}">
              <c16:uniqueId val="{0000000C-A5A2-467D-9258-528349657367}"/>
            </c:ext>
          </c:extLst>
        </c:ser>
        <c:ser>
          <c:idx val="6"/>
          <c:order val="5"/>
          <c:tx>
            <c:strRef>
              <c:f>'[tabella e grafici.xlsx]figura 3'!$K$3</c:f>
              <c:strCache>
                <c:ptCount val="1"/>
                <c:pt idx="0">
                  <c:v>Sostegno alla genitorialità</c:v>
                </c:pt>
              </c:strCache>
            </c:strRef>
          </c:tx>
          <c:spPr>
            <a:solidFill>
              <a:schemeClr val="accent1">
                <a:lumMod val="60000"/>
              </a:schemeClr>
            </a:solidFill>
            <a:ln>
              <a:noFill/>
            </a:ln>
            <a:effectLst/>
          </c:spPr>
          <c:invertIfNegative val="0"/>
          <c:val>
            <c:numRef>
              <c:f>'[tabella e grafici.xlsx]figura 3'!$K$4:$K$26</c:f>
              <c:numCache>
                <c:formatCode>0%</c:formatCode>
                <c:ptCount val="23"/>
                <c:pt idx="0">
                  <c:v>2.5190000757079122E-2</c:v>
                </c:pt>
                <c:pt idx="1">
                  <c:v>0</c:v>
                </c:pt>
                <c:pt idx="2">
                  <c:v>6.2599737782774159E-3</c:v>
                </c:pt>
                <c:pt idx="3">
                  <c:v>8.7549764964056365E-3</c:v>
                </c:pt>
                <c:pt idx="4">
                  <c:v>1.9011168934859755E-3</c:v>
                </c:pt>
                <c:pt idx="5">
                  <c:v>0</c:v>
                </c:pt>
                <c:pt idx="6">
                  <c:v>3.8043977188189177E-3</c:v>
                </c:pt>
                <c:pt idx="7">
                  <c:v>7.7006161236410162E-3</c:v>
                </c:pt>
                <c:pt idx="8">
                  <c:v>2.4630582891323376E-3</c:v>
                </c:pt>
                <c:pt idx="9">
                  <c:v>2.6003450458449564E-2</c:v>
                </c:pt>
                <c:pt idx="10">
                  <c:v>3.5116755930975877E-3</c:v>
                </c:pt>
                <c:pt idx="11">
                  <c:v>5.4093484314792642E-3</c:v>
                </c:pt>
                <c:pt idx="12">
                  <c:v>8.8579899625329007E-3</c:v>
                </c:pt>
                <c:pt idx="13">
                  <c:v>1.0822588248026645E-2</c:v>
                </c:pt>
                <c:pt idx="14">
                  <c:v>1.4011437135639902E-2</c:v>
                </c:pt>
                <c:pt idx="15">
                  <c:v>2.751589760016307E-2</c:v>
                </c:pt>
                <c:pt idx="16">
                  <c:v>2.7473706450394954E-2</c:v>
                </c:pt>
                <c:pt idx="17">
                  <c:v>3.1871155716502945E-2</c:v>
                </c:pt>
                <c:pt idx="18">
                  <c:v>4.3545872918319415E-3</c:v>
                </c:pt>
                <c:pt idx="19">
                  <c:v>1.0215359241755864E-2</c:v>
                </c:pt>
                <c:pt idx="20">
                  <c:v>6.6433428854730907E-3</c:v>
                </c:pt>
                <c:pt idx="21">
                  <c:v>2.0838613436298014E-2</c:v>
                </c:pt>
                <c:pt idx="22">
                  <c:v>1.3506409017193773E-2</c:v>
                </c:pt>
              </c:numCache>
            </c:numRef>
          </c:val>
          <c:extLst>
            <c:ext xmlns:c16="http://schemas.microsoft.com/office/drawing/2014/chart" uri="{C3380CC4-5D6E-409C-BE32-E72D297353CC}">
              <c16:uniqueId val="{0000000D-A5A2-467D-9258-528349657367}"/>
            </c:ext>
          </c:extLst>
        </c:ser>
        <c:ser>
          <c:idx val="4"/>
          <c:order val="6"/>
          <c:tx>
            <c:strRef>
              <c:f>'[tabella e grafici.xlsx]figura 3'!$L$3</c:f>
              <c:strCache>
                <c:ptCount val="1"/>
                <c:pt idx="0">
                  <c:v>Altro</c:v>
                </c:pt>
              </c:strCache>
            </c:strRef>
          </c:tx>
          <c:spPr>
            <a:solidFill>
              <a:schemeClr val="accent5">
                <a:lumMod val="75000"/>
              </a:schemeClr>
            </a:solidFill>
            <a:ln>
              <a:noFill/>
            </a:ln>
            <a:effectLst/>
          </c:spPr>
          <c:invertIfNegative val="0"/>
          <c:dPt>
            <c:idx val="21"/>
            <c:invertIfNegative val="0"/>
            <c:bubble3D val="0"/>
            <c:spPr>
              <a:solidFill>
                <a:schemeClr val="accent5">
                  <a:lumMod val="75000"/>
                </a:schemeClr>
              </a:solidFill>
              <a:ln>
                <a:noFill/>
              </a:ln>
              <a:effectLst/>
            </c:spPr>
            <c:extLst>
              <c:ext xmlns:c16="http://schemas.microsoft.com/office/drawing/2014/chart" uri="{C3380CC4-5D6E-409C-BE32-E72D297353CC}">
                <c16:uniqueId val="{0000000F-A5A2-467D-9258-528349657367}"/>
              </c:ext>
            </c:extLst>
          </c:dPt>
          <c:cat>
            <c:strRef>
              <c:f>'[tabella e grafici.xlsx]figura 3'!$B$4:$D$26</c:f>
              <c:strCache>
                <c:ptCount val="23"/>
                <c:pt idx="0">
                  <c:v>Piemonte</c:v>
                </c:pt>
                <c:pt idx="1">
                  <c:v>Valle d'Aosta/Vallée d'Aoste</c:v>
                </c:pt>
                <c:pt idx="2">
                  <c:v>Liguria</c:v>
                </c:pt>
                <c:pt idx="3">
                  <c:v>Lombardia</c:v>
                </c:pt>
                <c:pt idx="4">
                  <c:v>Trentino-Alto Adige/Südtirol</c:v>
                </c:pt>
                <c:pt idx="5">
                  <c:v>Bolzano/Bozen</c:v>
                </c:pt>
                <c:pt idx="6">
                  <c:v>Trento</c:v>
                </c:pt>
                <c:pt idx="7">
                  <c:v>Veneto</c:v>
                </c:pt>
                <c:pt idx="8">
                  <c:v>Friuli-Venezia Giulia</c:v>
                </c:pt>
                <c:pt idx="9">
                  <c:v>Emilia-Romagna</c:v>
                </c:pt>
                <c:pt idx="10">
                  <c:v>Toscana</c:v>
                </c:pt>
                <c:pt idx="11">
                  <c:v>Umbria</c:v>
                </c:pt>
                <c:pt idx="12">
                  <c:v>Marche</c:v>
                </c:pt>
                <c:pt idx="13">
                  <c:v>Lazio</c:v>
                </c:pt>
                <c:pt idx="14">
                  <c:v>Abruzzo</c:v>
                </c:pt>
                <c:pt idx="15">
                  <c:v>Molise</c:v>
                </c:pt>
                <c:pt idx="16">
                  <c:v>Campania</c:v>
                </c:pt>
                <c:pt idx="17">
                  <c:v>Puglia</c:v>
                </c:pt>
                <c:pt idx="18">
                  <c:v>Basilicata</c:v>
                </c:pt>
                <c:pt idx="19">
                  <c:v>Calabria</c:v>
                </c:pt>
                <c:pt idx="20">
                  <c:v>Sicilia</c:v>
                </c:pt>
                <c:pt idx="21">
                  <c:v>Sardegna</c:v>
                </c:pt>
                <c:pt idx="22">
                  <c:v>ITALIA</c:v>
                </c:pt>
              </c:strCache>
            </c:strRef>
          </c:cat>
          <c:val>
            <c:numRef>
              <c:f>'[tabella e grafici.xlsx]figura 3'!$L$4:$L$26</c:f>
              <c:numCache>
                <c:formatCode>0%</c:formatCode>
                <c:ptCount val="23"/>
                <c:pt idx="0">
                  <c:v>0.51678124910168277</c:v>
                </c:pt>
                <c:pt idx="1">
                  <c:v>0.75648994289698335</c:v>
                </c:pt>
                <c:pt idx="2">
                  <c:v>0.56162855110969112</c:v>
                </c:pt>
                <c:pt idx="3">
                  <c:v>0.52873669816484758</c:v>
                </c:pt>
                <c:pt idx="4">
                  <c:v>0.51366020681384261</c:v>
                </c:pt>
                <c:pt idx="5">
                  <c:v>0.40959957233925381</c:v>
                </c:pt>
                <c:pt idx="6">
                  <c:v>0.61783928751429307</c:v>
                </c:pt>
                <c:pt idx="7">
                  <c:v>0.59788577709100521</c:v>
                </c:pt>
                <c:pt idx="8">
                  <c:v>0.58891582335846349</c:v>
                </c:pt>
                <c:pt idx="9">
                  <c:v>0.63539162790801762</c:v>
                </c:pt>
                <c:pt idx="10">
                  <c:v>0.635334079139938</c:v>
                </c:pt>
                <c:pt idx="11">
                  <c:v>0.61466824329301717</c:v>
                </c:pt>
                <c:pt idx="12">
                  <c:v>0.58419171233737888</c:v>
                </c:pt>
                <c:pt idx="13">
                  <c:v>0.7070708768653331</c:v>
                </c:pt>
                <c:pt idx="14">
                  <c:v>0.48215954213397089</c:v>
                </c:pt>
                <c:pt idx="15">
                  <c:v>0.5176554179239754</c:v>
                </c:pt>
                <c:pt idx="16">
                  <c:v>0.53445838573234861</c:v>
                </c:pt>
                <c:pt idx="17">
                  <c:v>0.53129943395851698</c:v>
                </c:pt>
                <c:pt idx="18">
                  <c:v>0.44644978145527547</c:v>
                </c:pt>
                <c:pt idx="19">
                  <c:v>0.59463826751600957</c:v>
                </c:pt>
                <c:pt idx="20">
                  <c:v>0.38045978578054929</c:v>
                </c:pt>
                <c:pt idx="21">
                  <c:v>0.45354773150408229</c:v>
                </c:pt>
                <c:pt idx="22">
                  <c:v>0.57058276001653818</c:v>
                </c:pt>
              </c:numCache>
            </c:numRef>
          </c:val>
          <c:extLst>
            <c:ext xmlns:c16="http://schemas.microsoft.com/office/drawing/2014/chart" uri="{C3380CC4-5D6E-409C-BE32-E72D297353CC}">
              <c16:uniqueId val="{00000010-A5A2-467D-9258-528349657367}"/>
            </c:ext>
          </c:extLst>
        </c:ser>
        <c:dLbls>
          <c:showLegendKey val="0"/>
          <c:showVal val="0"/>
          <c:showCatName val="0"/>
          <c:showSerName val="0"/>
          <c:showPercent val="0"/>
          <c:showBubbleSize val="0"/>
        </c:dLbls>
        <c:gapWidth val="60"/>
        <c:overlap val="100"/>
        <c:axId val="1145607504"/>
        <c:axId val="1145616240"/>
      </c:barChart>
      <c:catAx>
        <c:axId val="1145607504"/>
        <c:scaling>
          <c:orientation val="minMax"/>
        </c:scaling>
        <c:delete val="0"/>
        <c:axPos val="b"/>
        <c:majorGridlines>
          <c:spPr>
            <a:ln w="3175" cap="flat" cmpd="sng" algn="ctr">
              <a:solidFill>
                <a:schemeClr val="bg1"/>
              </a:solidFill>
              <a:round/>
            </a:ln>
            <a:effectLst/>
          </c:spPr>
        </c:majorGridlines>
        <c:numFmt formatCode="General" sourceLinked="1"/>
        <c:majorTickMark val="out"/>
        <c:minorTickMark val="none"/>
        <c:tickLblPos val="nextTo"/>
        <c:spPr>
          <a:noFill/>
          <a:ln w="12700" cap="flat" cmpd="sng" algn="ctr">
            <a:solidFill>
              <a:schemeClr val="bg1"/>
            </a:solidFill>
            <a:round/>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Arial Narrow" panose="020B0606020202030204" pitchFamily="34" charset="0"/>
                <a:ea typeface="+mn-ea"/>
                <a:cs typeface="+mn-cs"/>
              </a:defRPr>
            </a:pPr>
            <a:endParaRPr lang="it-IT"/>
          </a:p>
        </c:txPr>
        <c:crossAx val="1145616240"/>
        <c:crosses val="autoZero"/>
        <c:auto val="1"/>
        <c:lblAlgn val="ctr"/>
        <c:lblOffset val="100"/>
        <c:noMultiLvlLbl val="0"/>
      </c:catAx>
      <c:valAx>
        <c:axId val="1145616240"/>
        <c:scaling>
          <c:orientation val="minMax"/>
          <c:max val="1"/>
        </c:scaling>
        <c:delete val="0"/>
        <c:axPos val="l"/>
        <c:majorGridlines>
          <c:spPr>
            <a:ln w="3175" cap="flat" cmpd="sng" algn="ctr">
              <a:solidFill>
                <a:schemeClr val="bg1"/>
              </a:solidFill>
              <a:round/>
            </a:ln>
            <a:effectLst/>
          </c:spPr>
        </c:majorGridlines>
        <c:numFmt formatCode="0%" sourceLinked="1"/>
        <c:majorTickMark val="out"/>
        <c:minorTickMark val="none"/>
        <c:tickLblPos val="nextTo"/>
        <c:spPr>
          <a:noFill/>
          <a:ln w="12700">
            <a:solidFill>
              <a:schemeClr val="bg1"/>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Arial Narrow" panose="020B0606020202030204" pitchFamily="34" charset="0"/>
                <a:ea typeface="+mn-ea"/>
                <a:cs typeface="+mn-cs"/>
              </a:defRPr>
            </a:pPr>
            <a:endParaRPr lang="it-IT"/>
          </a:p>
        </c:txPr>
        <c:crossAx val="1145607504"/>
        <c:crosses val="autoZero"/>
        <c:crossBetween val="between"/>
      </c:valAx>
      <c:spPr>
        <a:noFill/>
        <a:ln>
          <a:noFill/>
        </a:ln>
        <a:effectLst/>
      </c:spPr>
    </c:plotArea>
    <c:legend>
      <c:legendPos val="t"/>
      <c:layout>
        <c:manualLayout>
          <c:xMode val="edge"/>
          <c:yMode val="edge"/>
          <c:x val="6.5606619889645279E-2"/>
          <c:y val="9.6385542168674707E-3"/>
          <c:w val="0.90637819674931075"/>
          <c:h val="0.1174185877367738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Arial Narrow" panose="020B0606020202030204" pitchFamily="34" charset="0"/>
              <a:ea typeface="+mn-ea"/>
              <a:cs typeface="+mn-cs"/>
            </a:defRPr>
          </a:pPr>
          <a:endParaRPr lang="it-IT"/>
        </a:p>
      </c:txPr>
    </c:legend>
    <c:plotVisOnly val="1"/>
    <c:dispBlanksAs val="gap"/>
    <c:showDLblsOverMax val="0"/>
  </c:chart>
  <c:spPr>
    <a:noFill/>
    <a:ln w="9525" cap="flat" cmpd="sng" algn="ctr">
      <a:noFill/>
      <a:round/>
    </a:ln>
    <a:effectLst/>
  </c:spPr>
  <c:txPr>
    <a:bodyPr/>
    <a:lstStyle/>
    <a:p>
      <a:pPr>
        <a:defRPr sz="800">
          <a:solidFill>
            <a:schemeClr val="tx1">
              <a:lumMod val="85000"/>
              <a:lumOff val="15000"/>
            </a:schemeClr>
          </a:solidFill>
          <a:latin typeface="Arial Narrow" panose="020B0606020202030204" pitchFamily="34" charset="0"/>
        </a:defRPr>
      </a:pPr>
      <a:endParaRPr lang="it-I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spc="0" baseline="0">
                <a:solidFill>
                  <a:schemeClr val="tx1">
                    <a:lumMod val="85000"/>
                    <a:lumOff val="15000"/>
                  </a:schemeClr>
                </a:solidFill>
                <a:latin typeface="Arial Narrow" panose="020B0606020202030204" pitchFamily="34" charset="0"/>
                <a:ea typeface="+mn-ea"/>
                <a:cs typeface="+mn-cs"/>
              </a:defRPr>
            </a:pPr>
            <a:r>
              <a:rPr lang="it-IT" b="1"/>
              <a:t>Anziani</a:t>
            </a:r>
          </a:p>
        </c:rich>
      </c:tx>
      <c:overlay val="0"/>
      <c:spPr>
        <a:noFill/>
        <a:ln>
          <a:noFill/>
        </a:ln>
        <a:effectLst/>
      </c:spPr>
      <c:txPr>
        <a:bodyPr rot="0" spcFirstLastPara="1" vertOverflow="ellipsis" vert="horz" wrap="square" anchor="ctr" anchorCtr="1"/>
        <a:lstStyle/>
        <a:p>
          <a:pPr>
            <a:defRPr sz="960" b="1" i="0" u="none" strike="noStrike" kern="1200" spc="0" baseline="0">
              <a:solidFill>
                <a:schemeClr val="tx1">
                  <a:lumMod val="85000"/>
                  <a:lumOff val="15000"/>
                </a:schemeClr>
              </a:solidFill>
              <a:latin typeface="Arial Narrow" panose="020B0606020202030204" pitchFamily="34" charset="0"/>
              <a:ea typeface="+mn-ea"/>
              <a:cs typeface="+mn-cs"/>
            </a:defRPr>
          </a:pPr>
          <a:endParaRPr lang="it-IT"/>
        </a:p>
      </c:txPr>
    </c:title>
    <c:autoTitleDeleted val="0"/>
    <c:plotArea>
      <c:layout>
        <c:manualLayout>
          <c:layoutTarget val="inner"/>
          <c:xMode val="edge"/>
          <c:yMode val="edge"/>
          <c:x val="0.10422009748781402"/>
          <c:y val="0.33463507838352485"/>
          <c:w val="0.87990688663917005"/>
          <c:h val="0.55217102803132312"/>
        </c:manualLayout>
      </c:layout>
      <c:barChart>
        <c:barDir val="col"/>
        <c:grouping val="stacked"/>
        <c:varyColors val="0"/>
        <c:ser>
          <c:idx val="0"/>
          <c:order val="0"/>
          <c:tx>
            <c:strRef>
              <c:f>anziani!$B$11</c:f>
              <c:strCache>
                <c:ptCount val="1"/>
                <c:pt idx="0">
                  <c:v>Assistenza domiciliare
socio-assistenziale </c:v>
                </c:pt>
              </c:strCache>
            </c:strRef>
          </c:tx>
          <c:spPr>
            <a:solidFill>
              <a:srgbClr val="1F497D"/>
            </a:solidFill>
            <a:ln>
              <a:noFill/>
            </a:ln>
            <a:effectLst/>
          </c:spPr>
          <c:invertIfNegative val="0"/>
          <c:cat>
            <c:strRef>
              <c:f>anziani!$A$12:$A$17</c:f>
              <c:strCache>
                <c:ptCount val="6"/>
                <c:pt idx="0">
                  <c:v>Nord-ovest</c:v>
                </c:pt>
                <c:pt idx="1">
                  <c:v>Nord-est </c:v>
                </c:pt>
                <c:pt idx="2">
                  <c:v>Centro</c:v>
                </c:pt>
                <c:pt idx="3">
                  <c:v>Sud</c:v>
                </c:pt>
                <c:pt idx="4">
                  <c:v>Isole</c:v>
                </c:pt>
                <c:pt idx="5">
                  <c:v>ITALIA </c:v>
                </c:pt>
              </c:strCache>
            </c:strRef>
          </c:cat>
          <c:val>
            <c:numRef>
              <c:f>anziani!$B$12:$B$17</c:f>
              <c:numCache>
                <c:formatCode>_-* #,##0.0_-;\-* #,##0.0_-;_-* "-"?_-;_-@_-</c:formatCode>
                <c:ptCount val="6"/>
                <c:pt idx="0">
                  <c:v>0.9</c:v>
                </c:pt>
                <c:pt idx="1">
                  <c:v>1.6</c:v>
                </c:pt>
                <c:pt idx="2">
                  <c:v>0.7</c:v>
                </c:pt>
                <c:pt idx="3">
                  <c:v>0.5</c:v>
                </c:pt>
                <c:pt idx="4">
                  <c:v>0.8</c:v>
                </c:pt>
                <c:pt idx="5">
                  <c:v>0.9</c:v>
                </c:pt>
              </c:numCache>
            </c:numRef>
          </c:val>
          <c:extLst>
            <c:ext xmlns:c16="http://schemas.microsoft.com/office/drawing/2014/chart" uri="{C3380CC4-5D6E-409C-BE32-E72D297353CC}">
              <c16:uniqueId val="{00000000-5E9F-4E8F-BA92-FD38EC541186}"/>
            </c:ext>
          </c:extLst>
        </c:ser>
        <c:ser>
          <c:idx val="1"/>
          <c:order val="1"/>
          <c:tx>
            <c:strRef>
              <c:f>anziani!$C$11</c:f>
              <c:strCache>
                <c:ptCount val="1"/>
                <c:pt idx="0">
                  <c:v>Assistenza Domiciliare
 Integrata </c:v>
                </c:pt>
              </c:strCache>
            </c:strRef>
          </c:tx>
          <c:spPr>
            <a:solidFill>
              <a:srgbClr val="E42618"/>
            </a:solidFill>
            <a:ln>
              <a:noFill/>
            </a:ln>
            <a:effectLst/>
          </c:spPr>
          <c:invertIfNegative val="0"/>
          <c:cat>
            <c:strRef>
              <c:f>anziani!$A$12:$A$17</c:f>
              <c:strCache>
                <c:ptCount val="6"/>
                <c:pt idx="0">
                  <c:v>Nord-ovest</c:v>
                </c:pt>
                <c:pt idx="1">
                  <c:v>Nord-est </c:v>
                </c:pt>
                <c:pt idx="2">
                  <c:v>Centro</c:v>
                </c:pt>
                <c:pt idx="3">
                  <c:v>Sud</c:v>
                </c:pt>
                <c:pt idx="4">
                  <c:v>Isole</c:v>
                </c:pt>
                <c:pt idx="5">
                  <c:v>ITALIA </c:v>
                </c:pt>
              </c:strCache>
            </c:strRef>
          </c:cat>
          <c:val>
            <c:numRef>
              <c:f>anziani!$C$12:$C$17</c:f>
              <c:numCache>
                <c:formatCode>_-* #,##0.0_-;\-* #,##0.0_-;_-* "-"?_-;_-@_-</c:formatCode>
                <c:ptCount val="6"/>
                <c:pt idx="0">
                  <c:v>0.3</c:v>
                </c:pt>
                <c:pt idx="1">
                  <c:v>2</c:v>
                </c:pt>
                <c:pt idx="2">
                  <c:v>0.3</c:v>
                </c:pt>
                <c:pt idx="3">
                  <c:v>0.2</c:v>
                </c:pt>
                <c:pt idx="4">
                  <c:v>0.1</c:v>
                </c:pt>
                <c:pt idx="5">
                  <c:v>0.6</c:v>
                </c:pt>
              </c:numCache>
            </c:numRef>
          </c:val>
          <c:extLst>
            <c:ext xmlns:c16="http://schemas.microsoft.com/office/drawing/2014/chart" uri="{C3380CC4-5D6E-409C-BE32-E72D297353CC}">
              <c16:uniqueId val="{00000001-5E9F-4E8F-BA92-FD38EC541186}"/>
            </c:ext>
          </c:extLst>
        </c:ser>
        <c:ser>
          <c:idx val="2"/>
          <c:order val="2"/>
          <c:tx>
            <c:strRef>
              <c:f>anziani!$D$11</c:f>
              <c:strCache>
                <c:ptCount val="1"/>
                <c:pt idx="0">
                  <c:v>Voucher </c:v>
                </c:pt>
              </c:strCache>
            </c:strRef>
          </c:tx>
          <c:spPr>
            <a:solidFill>
              <a:schemeClr val="accent3"/>
            </a:solidFill>
            <a:ln>
              <a:noFill/>
            </a:ln>
            <a:effectLst/>
          </c:spPr>
          <c:invertIfNegative val="0"/>
          <c:cat>
            <c:strRef>
              <c:f>anziani!$A$12:$A$17</c:f>
              <c:strCache>
                <c:ptCount val="6"/>
                <c:pt idx="0">
                  <c:v>Nord-ovest</c:v>
                </c:pt>
                <c:pt idx="1">
                  <c:v>Nord-est </c:v>
                </c:pt>
                <c:pt idx="2">
                  <c:v>Centro</c:v>
                </c:pt>
                <c:pt idx="3">
                  <c:v>Sud</c:v>
                </c:pt>
                <c:pt idx="4">
                  <c:v>Isole</c:v>
                </c:pt>
                <c:pt idx="5">
                  <c:v>ITALIA </c:v>
                </c:pt>
              </c:strCache>
            </c:strRef>
          </c:cat>
          <c:val>
            <c:numRef>
              <c:f>anziani!$D$12:$D$17</c:f>
              <c:numCache>
                <c:formatCode>_-* #,##0.0_-;\-* #,##0.0_-;_-* "-"?_-;_-@_-</c:formatCode>
                <c:ptCount val="6"/>
                <c:pt idx="0">
                  <c:v>0.3</c:v>
                </c:pt>
                <c:pt idx="1">
                  <c:v>1.1000000000000001</c:v>
                </c:pt>
                <c:pt idx="2">
                  <c:v>0.2</c:v>
                </c:pt>
                <c:pt idx="3">
                  <c:v>0</c:v>
                </c:pt>
                <c:pt idx="4">
                  <c:v>0.2</c:v>
                </c:pt>
                <c:pt idx="5">
                  <c:v>0.4</c:v>
                </c:pt>
              </c:numCache>
            </c:numRef>
          </c:val>
          <c:extLst>
            <c:ext xmlns:c16="http://schemas.microsoft.com/office/drawing/2014/chart" uri="{C3380CC4-5D6E-409C-BE32-E72D297353CC}">
              <c16:uniqueId val="{00000002-5E9F-4E8F-BA92-FD38EC541186}"/>
            </c:ext>
          </c:extLst>
        </c:ser>
        <c:dLbls>
          <c:showLegendKey val="0"/>
          <c:showVal val="0"/>
          <c:showCatName val="0"/>
          <c:showSerName val="0"/>
          <c:showPercent val="0"/>
          <c:showBubbleSize val="0"/>
        </c:dLbls>
        <c:gapWidth val="90"/>
        <c:overlap val="100"/>
        <c:axId val="790366128"/>
        <c:axId val="790353232"/>
      </c:barChart>
      <c:catAx>
        <c:axId val="790366128"/>
        <c:scaling>
          <c:orientation val="minMax"/>
        </c:scaling>
        <c:delete val="0"/>
        <c:axPos val="b"/>
        <c:majorGridlines>
          <c:spPr>
            <a:ln w="3175" cap="flat" cmpd="sng" algn="ctr">
              <a:solidFill>
                <a:schemeClr val="bg1"/>
              </a:solidFill>
              <a:round/>
            </a:ln>
            <a:effectLst/>
          </c:spPr>
        </c:majorGridlines>
        <c:numFmt formatCode="General" sourceLinked="1"/>
        <c:majorTickMark val="out"/>
        <c:minorTickMark val="none"/>
        <c:tickLblPos val="nextTo"/>
        <c:spPr>
          <a:noFill/>
          <a:ln w="12700" cap="flat" cmpd="sng" algn="ctr">
            <a:solidFill>
              <a:schemeClr val="bg1"/>
            </a:solidFill>
            <a:round/>
          </a:ln>
          <a:effectLst/>
        </c:spPr>
        <c:txPr>
          <a:bodyPr rot="-60000000" spcFirstLastPara="1" vertOverflow="ellipsis" vert="horz" wrap="square" anchor="ctr" anchorCtr="1"/>
          <a:lstStyle/>
          <a:p>
            <a:pPr>
              <a:defRPr sz="800" b="1" i="0" u="none" strike="noStrike" kern="1200" baseline="0">
                <a:solidFill>
                  <a:schemeClr val="tx1">
                    <a:lumMod val="85000"/>
                    <a:lumOff val="15000"/>
                  </a:schemeClr>
                </a:solidFill>
                <a:latin typeface="Arial Narrow" panose="020B0606020202030204" pitchFamily="34" charset="0"/>
                <a:ea typeface="+mn-ea"/>
                <a:cs typeface="+mn-cs"/>
              </a:defRPr>
            </a:pPr>
            <a:endParaRPr lang="it-IT"/>
          </a:p>
        </c:txPr>
        <c:crossAx val="790353232"/>
        <c:crosses val="autoZero"/>
        <c:auto val="1"/>
        <c:lblAlgn val="ctr"/>
        <c:lblOffset val="100"/>
        <c:noMultiLvlLbl val="0"/>
      </c:catAx>
      <c:valAx>
        <c:axId val="790353232"/>
        <c:scaling>
          <c:orientation val="minMax"/>
        </c:scaling>
        <c:delete val="0"/>
        <c:axPos val="l"/>
        <c:majorGridlines>
          <c:spPr>
            <a:ln w="3175" cap="flat" cmpd="sng" algn="ctr">
              <a:solidFill>
                <a:schemeClr val="bg1"/>
              </a:solidFill>
              <a:round/>
            </a:ln>
            <a:effectLst/>
          </c:spPr>
        </c:majorGridlines>
        <c:numFmt formatCode="_-* #,##0.0_-;\-* #,##0.0_-;_-* &quot;-&quot;?_-;_-@_-" sourceLinked="1"/>
        <c:majorTickMark val="out"/>
        <c:minorTickMark val="none"/>
        <c:tickLblPos val="nextTo"/>
        <c:spPr>
          <a:noFill/>
          <a:ln w="12700">
            <a:solidFill>
              <a:schemeClr val="bg1"/>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Arial Narrow" panose="020B0606020202030204" pitchFamily="34" charset="0"/>
                <a:ea typeface="+mn-ea"/>
                <a:cs typeface="+mn-cs"/>
              </a:defRPr>
            </a:pPr>
            <a:endParaRPr lang="it-IT"/>
          </a:p>
        </c:txPr>
        <c:crossAx val="7903661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Arial Narrow" panose="020B0606020202030204" pitchFamily="34" charset="0"/>
              <a:ea typeface="+mn-ea"/>
              <a:cs typeface="+mn-cs"/>
            </a:defRPr>
          </a:pPr>
          <a:endParaRPr lang="it-IT"/>
        </a:p>
      </c:txPr>
    </c:legend>
    <c:plotVisOnly val="1"/>
    <c:dispBlanksAs val="gap"/>
    <c:showDLblsOverMax val="0"/>
  </c:chart>
  <c:spPr>
    <a:noFill/>
    <a:ln w="9525" cap="flat" cmpd="sng" algn="ctr">
      <a:noFill/>
      <a:round/>
    </a:ln>
    <a:effectLst/>
  </c:spPr>
  <c:txPr>
    <a:bodyPr/>
    <a:lstStyle/>
    <a:p>
      <a:pPr>
        <a:defRPr sz="800">
          <a:solidFill>
            <a:schemeClr val="tx1">
              <a:lumMod val="85000"/>
              <a:lumOff val="15000"/>
            </a:schemeClr>
          </a:solidFill>
          <a:latin typeface="Arial Narrow" panose="020B0606020202030204" pitchFamily="34" charset="0"/>
        </a:defRPr>
      </a:pPr>
      <a:endParaRPr lang="it-I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spc="0" baseline="0">
                <a:solidFill>
                  <a:schemeClr val="tx1">
                    <a:lumMod val="85000"/>
                    <a:lumOff val="15000"/>
                  </a:schemeClr>
                </a:solidFill>
                <a:latin typeface="Arial Narrow" panose="020B0606020202030204" pitchFamily="34" charset="0"/>
                <a:ea typeface="+mn-ea"/>
                <a:cs typeface="+mn-cs"/>
              </a:defRPr>
            </a:pPr>
            <a:r>
              <a:rPr lang="it-IT" b="1"/>
              <a:t>Disabili</a:t>
            </a:r>
          </a:p>
        </c:rich>
      </c:tx>
      <c:overlay val="0"/>
      <c:spPr>
        <a:noFill/>
        <a:ln>
          <a:noFill/>
        </a:ln>
        <a:effectLst/>
      </c:spPr>
      <c:txPr>
        <a:bodyPr rot="0" spcFirstLastPara="1" vertOverflow="ellipsis" vert="horz" wrap="square" anchor="ctr" anchorCtr="1"/>
        <a:lstStyle/>
        <a:p>
          <a:pPr>
            <a:defRPr sz="960" b="1" i="0" u="none" strike="noStrike" kern="1200" spc="0" baseline="0">
              <a:solidFill>
                <a:schemeClr val="tx1">
                  <a:lumMod val="85000"/>
                  <a:lumOff val="15000"/>
                </a:schemeClr>
              </a:solidFill>
              <a:latin typeface="Arial Narrow" panose="020B0606020202030204" pitchFamily="34" charset="0"/>
              <a:ea typeface="+mn-ea"/>
              <a:cs typeface="+mn-cs"/>
            </a:defRPr>
          </a:pPr>
          <a:endParaRPr lang="it-IT"/>
        </a:p>
      </c:txPr>
    </c:title>
    <c:autoTitleDeleted val="0"/>
    <c:plotArea>
      <c:layout>
        <c:manualLayout>
          <c:layoutTarget val="inner"/>
          <c:xMode val="edge"/>
          <c:yMode val="edge"/>
          <c:x val="0.10316134396243948"/>
          <c:y val="0.33217318543628915"/>
          <c:w val="0.88855708253859567"/>
          <c:h val="0.55103949880924286"/>
        </c:manualLayout>
      </c:layout>
      <c:barChart>
        <c:barDir val="col"/>
        <c:grouping val="stacked"/>
        <c:varyColors val="0"/>
        <c:ser>
          <c:idx val="0"/>
          <c:order val="0"/>
          <c:tx>
            <c:strRef>
              <c:f>disabili!$B$11</c:f>
              <c:strCache>
                <c:ptCount val="1"/>
                <c:pt idx="0">
                  <c:v>Assistenza domiciliare
socio-assistenziale </c:v>
                </c:pt>
              </c:strCache>
            </c:strRef>
          </c:tx>
          <c:spPr>
            <a:solidFill>
              <a:srgbClr val="1F497D"/>
            </a:solidFill>
            <a:ln>
              <a:noFill/>
            </a:ln>
            <a:effectLst/>
          </c:spPr>
          <c:invertIfNegative val="0"/>
          <c:cat>
            <c:strRef>
              <c:f>disabili!$A$12:$A$17</c:f>
              <c:strCache>
                <c:ptCount val="6"/>
                <c:pt idx="0">
                  <c:v>Nord-ovest</c:v>
                </c:pt>
                <c:pt idx="1">
                  <c:v>Nord-est </c:v>
                </c:pt>
                <c:pt idx="2">
                  <c:v>Centro</c:v>
                </c:pt>
                <c:pt idx="3">
                  <c:v>Sud</c:v>
                </c:pt>
                <c:pt idx="4">
                  <c:v>Isole</c:v>
                </c:pt>
                <c:pt idx="5">
                  <c:v>ITALIA </c:v>
                </c:pt>
              </c:strCache>
            </c:strRef>
          </c:cat>
          <c:val>
            <c:numRef>
              <c:f>disabili!$B$12:$B$17</c:f>
              <c:numCache>
                <c:formatCode>_-* #,##0.0_-;\-* #,##0.0_-;_-* "-"?_-;_-@_-</c:formatCode>
                <c:ptCount val="6"/>
                <c:pt idx="0">
                  <c:v>3</c:v>
                </c:pt>
                <c:pt idx="1">
                  <c:v>2.2000000000000002</c:v>
                </c:pt>
                <c:pt idx="2">
                  <c:v>5.6</c:v>
                </c:pt>
                <c:pt idx="3">
                  <c:v>3.5</c:v>
                </c:pt>
                <c:pt idx="4">
                  <c:v>10.7</c:v>
                </c:pt>
                <c:pt idx="5">
                  <c:v>4.5999999999999996</c:v>
                </c:pt>
              </c:numCache>
            </c:numRef>
          </c:val>
          <c:extLst>
            <c:ext xmlns:c16="http://schemas.microsoft.com/office/drawing/2014/chart" uri="{C3380CC4-5D6E-409C-BE32-E72D297353CC}">
              <c16:uniqueId val="{00000000-B427-422B-9298-E2D3766896CF}"/>
            </c:ext>
          </c:extLst>
        </c:ser>
        <c:ser>
          <c:idx val="1"/>
          <c:order val="1"/>
          <c:tx>
            <c:strRef>
              <c:f>disabili!$C$11</c:f>
              <c:strCache>
                <c:ptCount val="1"/>
                <c:pt idx="0">
                  <c:v>Assistenza Domiciliare
 Integrata </c:v>
                </c:pt>
              </c:strCache>
            </c:strRef>
          </c:tx>
          <c:spPr>
            <a:solidFill>
              <a:srgbClr val="E42618"/>
            </a:solidFill>
            <a:ln>
              <a:noFill/>
            </a:ln>
            <a:effectLst/>
          </c:spPr>
          <c:invertIfNegative val="0"/>
          <c:cat>
            <c:strRef>
              <c:f>disabili!$A$12:$A$17</c:f>
              <c:strCache>
                <c:ptCount val="6"/>
                <c:pt idx="0">
                  <c:v>Nord-ovest</c:v>
                </c:pt>
                <c:pt idx="1">
                  <c:v>Nord-est </c:v>
                </c:pt>
                <c:pt idx="2">
                  <c:v>Centro</c:v>
                </c:pt>
                <c:pt idx="3">
                  <c:v>Sud</c:v>
                </c:pt>
                <c:pt idx="4">
                  <c:v>Isole</c:v>
                </c:pt>
                <c:pt idx="5">
                  <c:v>ITALIA </c:v>
                </c:pt>
              </c:strCache>
            </c:strRef>
          </c:cat>
          <c:val>
            <c:numRef>
              <c:f>disabili!$C$12:$C$17</c:f>
              <c:numCache>
                <c:formatCode>_-* #,##0.0_-;\-* #,##0.0_-;_-* "-"?_-;_-@_-</c:formatCode>
                <c:ptCount val="6"/>
                <c:pt idx="0">
                  <c:v>0.8</c:v>
                </c:pt>
                <c:pt idx="1">
                  <c:v>3.7</c:v>
                </c:pt>
                <c:pt idx="2">
                  <c:v>1.1000000000000001</c:v>
                </c:pt>
                <c:pt idx="3">
                  <c:v>1.1000000000000001</c:v>
                </c:pt>
                <c:pt idx="4">
                  <c:v>1.2</c:v>
                </c:pt>
                <c:pt idx="5">
                  <c:v>1.5</c:v>
                </c:pt>
              </c:numCache>
            </c:numRef>
          </c:val>
          <c:extLst>
            <c:ext xmlns:c16="http://schemas.microsoft.com/office/drawing/2014/chart" uri="{C3380CC4-5D6E-409C-BE32-E72D297353CC}">
              <c16:uniqueId val="{00000001-B427-422B-9298-E2D3766896CF}"/>
            </c:ext>
          </c:extLst>
        </c:ser>
        <c:ser>
          <c:idx val="2"/>
          <c:order val="2"/>
          <c:tx>
            <c:strRef>
              <c:f>disabili!$D$11</c:f>
              <c:strCache>
                <c:ptCount val="1"/>
                <c:pt idx="0">
                  <c:v>Voucher </c:v>
                </c:pt>
              </c:strCache>
            </c:strRef>
          </c:tx>
          <c:spPr>
            <a:solidFill>
              <a:schemeClr val="accent3"/>
            </a:solidFill>
            <a:ln>
              <a:noFill/>
            </a:ln>
            <a:effectLst/>
          </c:spPr>
          <c:invertIfNegative val="0"/>
          <c:cat>
            <c:strRef>
              <c:f>disabili!$A$12:$A$17</c:f>
              <c:strCache>
                <c:ptCount val="6"/>
                <c:pt idx="0">
                  <c:v>Nord-ovest</c:v>
                </c:pt>
                <c:pt idx="1">
                  <c:v>Nord-est </c:v>
                </c:pt>
                <c:pt idx="2">
                  <c:v>Centro</c:v>
                </c:pt>
                <c:pt idx="3">
                  <c:v>Sud</c:v>
                </c:pt>
                <c:pt idx="4">
                  <c:v>Isole</c:v>
                </c:pt>
                <c:pt idx="5">
                  <c:v>ITALIA </c:v>
                </c:pt>
              </c:strCache>
            </c:strRef>
          </c:cat>
          <c:val>
            <c:numRef>
              <c:f>disabili!$D$12:$D$17</c:f>
              <c:numCache>
                <c:formatCode>_-* #,##0.0_-;\-* #,##0.0_-;_-* "-"?_-;_-@_-</c:formatCode>
                <c:ptCount val="6"/>
                <c:pt idx="0">
                  <c:v>2.8</c:v>
                </c:pt>
                <c:pt idx="1">
                  <c:v>5</c:v>
                </c:pt>
                <c:pt idx="2">
                  <c:v>1.8</c:v>
                </c:pt>
                <c:pt idx="3">
                  <c:v>1.9</c:v>
                </c:pt>
                <c:pt idx="4">
                  <c:v>3.1</c:v>
                </c:pt>
                <c:pt idx="5">
                  <c:v>2.8</c:v>
                </c:pt>
              </c:numCache>
            </c:numRef>
          </c:val>
          <c:extLst>
            <c:ext xmlns:c16="http://schemas.microsoft.com/office/drawing/2014/chart" uri="{C3380CC4-5D6E-409C-BE32-E72D297353CC}">
              <c16:uniqueId val="{00000002-B427-422B-9298-E2D3766896CF}"/>
            </c:ext>
          </c:extLst>
        </c:ser>
        <c:dLbls>
          <c:showLegendKey val="0"/>
          <c:showVal val="0"/>
          <c:showCatName val="0"/>
          <c:showSerName val="0"/>
          <c:showPercent val="0"/>
          <c:showBubbleSize val="0"/>
        </c:dLbls>
        <c:gapWidth val="90"/>
        <c:overlap val="100"/>
        <c:axId val="1061038640"/>
        <c:axId val="1061044464"/>
      </c:barChart>
      <c:catAx>
        <c:axId val="1061038640"/>
        <c:scaling>
          <c:orientation val="minMax"/>
        </c:scaling>
        <c:delete val="0"/>
        <c:axPos val="b"/>
        <c:majorGridlines>
          <c:spPr>
            <a:ln w="3175" cap="flat" cmpd="sng" algn="ctr">
              <a:solidFill>
                <a:schemeClr val="bg1"/>
              </a:solidFill>
              <a:round/>
            </a:ln>
            <a:effectLst/>
          </c:spPr>
        </c:majorGridlines>
        <c:numFmt formatCode="General" sourceLinked="1"/>
        <c:majorTickMark val="out"/>
        <c:minorTickMark val="none"/>
        <c:tickLblPos val="nextTo"/>
        <c:spPr>
          <a:noFill/>
          <a:ln w="12700" cap="flat" cmpd="sng" algn="ctr">
            <a:solidFill>
              <a:schemeClr val="bg1"/>
            </a:solidFill>
            <a:round/>
          </a:ln>
          <a:effectLst/>
        </c:spPr>
        <c:txPr>
          <a:bodyPr rot="-60000000" spcFirstLastPara="1" vertOverflow="ellipsis" vert="horz" wrap="square" anchor="ctr" anchorCtr="1"/>
          <a:lstStyle/>
          <a:p>
            <a:pPr>
              <a:defRPr sz="800" b="1" i="0" u="none" strike="noStrike" kern="1200" baseline="0">
                <a:solidFill>
                  <a:schemeClr val="tx1">
                    <a:lumMod val="85000"/>
                    <a:lumOff val="15000"/>
                  </a:schemeClr>
                </a:solidFill>
                <a:latin typeface="Arial Narrow" panose="020B0606020202030204" pitchFamily="34" charset="0"/>
                <a:ea typeface="+mn-ea"/>
                <a:cs typeface="+mn-cs"/>
              </a:defRPr>
            </a:pPr>
            <a:endParaRPr lang="it-IT"/>
          </a:p>
        </c:txPr>
        <c:crossAx val="1061044464"/>
        <c:crosses val="autoZero"/>
        <c:auto val="1"/>
        <c:lblAlgn val="ctr"/>
        <c:lblOffset val="100"/>
        <c:noMultiLvlLbl val="0"/>
      </c:catAx>
      <c:valAx>
        <c:axId val="1061044464"/>
        <c:scaling>
          <c:orientation val="minMax"/>
        </c:scaling>
        <c:delete val="0"/>
        <c:axPos val="l"/>
        <c:majorGridlines>
          <c:spPr>
            <a:ln w="3175" cap="flat" cmpd="sng" algn="ctr">
              <a:solidFill>
                <a:schemeClr val="bg1"/>
              </a:solidFill>
              <a:round/>
            </a:ln>
            <a:effectLst/>
          </c:spPr>
        </c:majorGridlines>
        <c:numFmt formatCode="_-* #,##0.0_-;\-* #,##0.0_-;_-* &quot;-&quot;?_-;_-@_-" sourceLinked="1"/>
        <c:majorTickMark val="out"/>
        <c:minorTickMark val="none"/>
        <c:tickLblPos val="nextTo"/>
        <c:spPr>
          <a:noFill/>
          <a:ln w="12700">
            <a:solidFill>
              <a:schemeClr val="bg1"/>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Arial Narrow" panose="020B0606020202030204" pitchFamily="34" charset="0"/>
                <a:ea typeface="+mn-ea"/>
                <a:cs typeface="+mn-cs"/>
              </a:defRPr>
            </a:pPr>
            <a:endParaRPr lang="it-IT"/>
          </a:p>
        </c:txPr>
        <c:crossAx val="106103864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Arial Narrow" panose="020B0606020202030204" pitchFamily="34" charset="0"/>
              <a:ea typeface="+mn-ea"/>
              <a:cs typeface="+mn-cs"/>
            </a:defRPr>
          </a:pPr>
          <a:endParaRPr lang="it-IT"/>
        </a:p>
      </c:txPr>
    </c:legend>
    <c:plotVisOnly val="1"/>
    <c:dispBlanksAs val="gap"/>
    <c:showDLblsOverMax val="0"/>
  </c:chart>
  <c:spPr>
    <a:noFill/>
    <a:ln w="9525" cap="flat" cmpd="sng" algn="ctr">
      <a:noFill/>
      <a:round/>
    </a:ln>
    <a:effectLst/>
  </c:spPr>
  <c:txPr>
    <a:bodyPr/>
    <a:lstStyle/>
    <a:p>
      <a:pPr>
        <a:defRPr sz="800">
          <a:solidFill>
            <a:schemeClr val="tx1">
              <a:lumMod val="85000"/>
              <a:lumOff val="15000"/>
            </a:schemeClr>
          </a:solidFill>
          <a:latin typeface="Arial Narrow" panose="020B0606020202030204" pitchFamily="34" charset="0"/>
        </a:defRPr>
      </a:pPr>
      <a:endParaRPr lang="it-I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594925634295717E-2"/>
          <c:y val="5.3765867418899868E-2"/>
          <c:w val="0.88396062992125979"/>
          <c:h val="0.8110951434314716"/>
        </c:manualLayout>
      </c:layout>
      <c:barChart>
        <c:barDir val="col"/>
        <c:grouping val="clustered"/>
        <c:varyColors val="0"/>
        <c:ser>
          <c:idx val="1"/>
          <c:order val="0"/>
          <c:tx>
            <c:v/>
          </c:tx>
          <c:spPr>
            <a:solidFill>
              <a:schemeClr val="accent2"/>
            </a:solidFill>
            <a:ln>
              <a:noFill/>
            </a:ln>
            <a:effectLst/>
          </c:spPr>
          <c:invertIfNegative val="0"/>
          <c:dPt>
            <c:idx val="0"/>
            <c:invertIfNegative val="0"/>
            <c:bubble3D val="0"/>
            <c:spPr>
              <a:solidFill>
                <a:srgbClr val="1F497D"/>
              </a:solidFill>
              <a:ln>
                <a:noFill/>
              </a:ln>
              <a:effectLst/>
            </c:spPr>
            <c:extLst>
              <c:ext xmlns:c16="http://schemas.microsoft.com/office/drawing/2014/chart" uri="{C3380CC4-5D6E-409C-BE32-E72D297353CC}">
                <c16:uniqueId val="{00000001-44E5-4028-B223-B0812E2082D9}"/>
              </c:ext>
            </c:extLst>
          </c:dPt>
          <c:dPt>
            <c:idx val="1"/>
            <c:invertIfNegative val="0"/>
            <c:bubble3D val="0"/>
            <c:spPr>
              <a:solidFill>
                <a:srgbClr val="1F497D"/>
              </a:solidFill>
              <a:ln>
                <a:noFill/>
              </a:ln>
              <a:effectLst/>
            </c:spPr>
            <c:extLst>
              <c:ext xmlns:c16="http://schemas.microsoft.com/office/drawing/2014/chart" uri="{C3380CC4-5D6E-409C-BE32-E72D297353CC}">
                <c16:uniqueId val="{00000003-44E5-4028-B223-B0812E2082D9}"/>
              </c:ext>
            </c:extLst>
          </c:dPt>
          <c:dPt>
            <c:idx val="2"/>
            <c:invertIfNegative val="0"/>
            <c:bubble3D val="0"/>
            <c:spPr>
              <a:solidFill>
                <a:srgbClr val="1F497D"/>
              </a:solidFill>
              <a:ln>
                <a:noFill/>
              </a:ln>
              <a:effectLst/>
            </c:spPr>
            <c:extLst>
              <c:ext xmlns:c16="http://schemas.microsoft.com/office/drawing/2014/chart" uri="{C3380CC4-5D6E-409C-BE32-E72D297353CC}">
                <c16:uniqueId val="{00000005-44E5-4028-B223-B0812E2082D9}"/>
              </c:ext>
            </c:extLst>
          </c:dPt>
          <c:dPt>
            <c:idx val="3"/>
            <c:invertIfNegative val="0"/>
            <c:bubble3D val="0"/>
            <c:spPr>
              <a:solidFill>
                <a:srgbClr val="1F497D"/>
              </a:solidFill>
              <a:ln>
                <a:noFill/>
              </a:ln>
              <a:effectLst/>
            </c:spPr>
            <c:extLst>
              <c:ext xmlns:c16="http://schemas.microsoft.com/office/drawing/2014/chart" uri="{C3380CC4-5D6E-409C-BE32-E72D297353CC}">
                <c16:uniqueId val="{00000007-44E5-4028-B223-B0812E2082D9}"/>
              </c:ext>
            </c:extLst>
          </c:dPt>
          <c:dPt>
            <c:idx val="4"/>
            <c:invertIfNegative val="0"/>
            <c:bubble3D val="0"/>
            <c:spPr>
              <a:solidFill>
                <a:srgbClr val="1F497D"/>
              </a:solidFill>
              <a:ln>
                <a:noFill/>
              </a:ln>
              <a:effectLst/>
            </c:spPr>
            <c:extLst>
              <c:ext xmlns:c16="http://schemas.microsoft.com/office/drawing/2014/chart" uri="{C3380CC4-5D6E-409C-BE32-E72D297353CC}">
                <c16:uniqueId val="{00000009-44E5-4028-B223-B0812E2082D9}"/>
              </c:ext>
            </c:extLst>
          </c:dPt>
          <c:dPt>
            <c:idx val="5"/>
            <c:invertIfNegative val="0"/>
            <c:bubble3D val="0"/>
            <c:spPr>
              <a:solidFill>
                <a:srgbClr val="1F497D"/>
              </a:solidFill>
              <a:ln>
                <a:noFill/>
              </a:ln>
              <a:effectLst/>
            </c:spPr>
            <c:extLst>
              <c:ext xmlns:c16="http://schemas.microsoft.com/office/drawing/2014/chart" uri="{C3380CC4-5D6E-409C-BE32-E72D297353CC}">
                <c16:uniqueId val="{0000000B-44E5-4028-B223-B0812E2082D9}"/>
              </c:ext>
            </c:extLst>
          </c:dPt>
          <c:cat>
            <c:strRef>
              <c:f>'Figura 4'!$A$14:$A$19</c:f>
              <c:strCache>
                <c:ptCount val="6"/>
                <c:pt idx="0">
                  <c:v>ITALIA</c:v>
                </c:pt>
                <c:pt idx="1">
                  <c:v>Nord-ovest</c:v>
                </c:pt>
                <c:pt idx="2">
                  <c:v>Nord-est</c:v>
                </c:pt>
                <c:pt idx="3">
                  <c:v>Centro</c:v>
                </c:pt>
                <c:pt idx="4">
                  <c:v>Sud</c:v>
                </c:pt>
                <c:pt idx="5">
                  <c:v>Isole</c:v>
                </c:pt>
              </c:strCache>
            </c:strRef>
          </c:cat>
          <c:val>
            <c:numRef>
              <c:f>'Figura 4'!$B$14:$B$19</c:f>
              <c:numCache>
                <c:formatCode>_(* #,##0_);_(* \(#,##0\);_(* "-"_);_(@_)</c:formatCode>
                <c:ptCount val="6"/>
                <c:pt idx="0">
                  <c:v>25</c:v>
                </c:pt>
                <c:pt idx="1">
                  <c:v>28</c:v>
                </c:pt>
                <c:pt idx="2">
                  <c:v>32</c:v>
                </c:pt>
                <c:pt idx="3">
                  <c:v>27</c:v>
                </c:pt>
                <c:pt idx="4">
                  <c:v>15</c:v>
                </c:pt>
                <c:pt idx="5">
                  <c:v>26</c:v>
                </c:pt>
              </c:numCache>
            </c:numRef>
          </c:val>
          <c:extLst>
            <c:ext xmlns:c16="http://schemas.microsoft.com/office/drawing/2014/chart" uri="{C3380CC4-5D6E-409C-BE32-E72D297353CC}">
              <c16:uniqueId val="{0000000C-44E5-4028-B223-B0812E2082D9}"/>
            </c:ext>
          </c:extLst>
        </c:ser>
        <c:dLbls>
          <c:showLegendKey val="0"/>
          <c:showVal val="0"/>
          <c:showCatName val="0"/>
          <c:showSerName val="0"/>
          <c:showPercent val="0"/>
          <c:showBubbleSize val="0"/>
        </c:dLbls>
        <c:gapWidth val="90"/>
        <c:axId val="724810879"/>
        <c:axId val="548536863"/>
      </c:barChart>
      <c:catAx>
        <c:axId val="724810879"/>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bg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crossAx val="548536863"/>
        <c:crosses val="autoZero"/>
        <c:auto val="1"/>
        <c:lblAlgn val="ctr"/>
        <c:lblOffset val="100"/>
        <c:noMultiLvlLbl val="0"/>
      </c:catAx>
      <c:valAx>
        <c:axId val="548536863"/>
        <c:scaling>
          <c:orientation val="minMax"/>
        </c:scaling>
        <c:delete val="0"/>
        <c:axPos val="l"/>
        <c:majorGridlines>
          <c:spPr>
            <a:ln w="3175" cap="flat" cmpd="sng" algn="ctr">
              <a:solidFill>
                <a:schemeClr val="bg1"/>
              </a:solidFill>
              <a:round/>
            </a:ln>
            <a:effectLst/>
          </c:spPr>
        </c:majorGridlines>
        <c:numFmt formatCode="#,##0" sourceLinked="0"/>
        <c:majorTickMark val="out"/>
        <c:minorTickMark val="none"/>
        <c:tickLblPos val="nextTo"/>
        <c:spPr>
          <a:noFill/>
          <a:ln>
            <a:solidFill>
              <a:schemeClr val="bg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crossAx val="724810879"/>
        <c:crosses val="autoZero"/>
        <c:crossBetween val="between"/>
      </c:valAx>
      <c:dTable>
        <c:showHorzBorder val="1"/>
        <c:showVertBorder val="1"/>
        <c:showOutline val="1"/>
        <c:showKeys val="0"/>
        <c:spPr>
          <a:noFill/>
          <a:ln w="9525" cap="flat" cmpd="sng" algn="ctr">
            <a:solidFill>
              <a:schemeClr val="bg1"/>
            </a:solidFill>
            <a:round/>
          </a:ln>
          <a:effectLst/>
        </c:spPr>
        <c:txPr>
          <a:bodyPr rot="0" spcFirstLastPara="1" vertOverflow="ellipsis" vert="horz" wrap="square" anchor="ctr" anchorCtr="1"/>
          <a:lstStyle/>
          <a:p>
            <a:pPr rtl="0">
              <a:defRPr sz="800" b="1"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dTable>
      <c:spPr>
        <a:noFill/>
        <a:ln>
          <a:noFill/>
        </a:ln>
        <a:effectLst/>
      </c:spPr>
    </c:plotArea>
    <c:plotVisOnly val="1"/>
    <c:dispBlanksAs val="gap"/>
    <c:showDLblsOverMax val="0"/>
  </c:chart>
  <c:spPr>
    <a:noFill/>
    <a:ln w="9525" cap="flat" cmpd="sng" algn="ctr">
      <a:noFill/>
      <a:round/>
    </a:ln>
    <a:effectLst/>
  </c:spPr>
  <c:txPr>
    <a:bodyPr/>
    <a:lstStyle/>
    <a:p>
      <a:pPr>
        <a:defRPr sz="800">
          <a:latin typeface="Arial Narrow" panose="020B0606020202030204" pitchFamily="34" charset="0"/>
        </a:defRPr>
      </a:pPr>
      <a:endParaRPr lang="it-I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594925634295717E-2"/>
          <c:y val="5.4613180515759321E-2"/>
          <c:w val="0.88811440625996518"/>
          <c:h val="0.80811813279787004"/>
        </c:manualLayout>
      </c:layout>
      <c:barChart>
        <c:barDir val="col"/>
        <c:grouping val="clustered"/>
        <c:varyColors val="0"/>
        <c:ser>
          <c:idx val="1"/>
          <c:order val="0"/>
          <c:tx>
            <c:v> </c:v>
          </c:tx>
          <c:spPr>
            <a:solidFill>
              <a:srgbClr val="E42618"/>
            </a:solidFill>
            <a:ln>
              <a:noFill/>
            </a:ln>
            <a:effectLst/>
          </c:spPr>
          <c:invertIfNegative val="0"/>
          <c:cat>
            <c:strRef>
              <c:f>'Figura 4'!$A$4:$A$9</c:f>
              <c:strCache>
                <c:ptCount val="6"/>
                <c:pt idx="0">
                  <c:v>Italia  </c:v>
                </c:pt>
                <c:pt idx="1">
                  <c:v>Nord-ovest  </c:v>
                </c:pt>
                <c:pt idx="2">
                  <c:v>Nord-est  </c:v>
                </c:pt>
                <c:pt idx="3">
                  <c:v>Centro  </c:v>
                </c:pt>
                <c:pt idx="4">
                  <c:v>Sud  </c:v>
                </c:pt>
                <c:pt idx="5">
                  <c:v>Isole  </c:v>
                </c:pt>
              </c:strCache>
            </c:strRef>
          </c:cat>
          <c:val>
            <c:numRef>
              <c:f>'Figura 4'!$D$4:$D$9</c:f>
              <c:numCache>
                <c:formatCode>#,##0.0</c:formatCode>
                <c:ptCount val="6"/>
                <c:pt idx="0">
                  <c:v>7.7</c:v>
                </c:pt>
                <c:pt idx="1">
                  <c:v>6.8</c:v>
                </c:pt>
                <c:pt idx="2">
                  <c:v>7.1</c:v>
                </c:pt>
                <c:pt idx="3">
                  <c:v>6</c:v>
                </c:pt>
                <c:pt idx="4">
                  <c:v>10.5</c:v>
                </c:pt>
                <c:pt idx="5">
                  <c:v>9.1999999999999993</c:v>
                </c:pt>
              </c:numCache>
            </c:numRef>
          </c:val>
          <c:extLst>
            <c:ext xmlns:c16="http://schemas.microsoft.com/office/drawing/2014/chart" uri="{C3380CC4-5D6E-409C-BE32-E72D297353CC}">
              <c16:uniqueId val="{00000000-8930-4039-9972-BCA67E8EBC74}"/>
            </c:ext>
          </c:extLst>
        </c:ser>
        <c:dLbls>
          <c:showLegendKey val="0"/>
          <c:showVal val="0"/>
          <c:showCatName val="0"/>
          <c:showSerName val="0"/>
          <c:showPercent val="0"/>
          <c:showBubbleSize val="0"/>
        </c:dLbls>
        <c:gapWidth val="90"/>
        <c:axId val="724810879"/>
        <c:axId val="548536863"/>
      </c:barChart>
      <c:catAx>
        <c:axId val="724810879"/>
        <c:scaling>
          <c:orientation val="minMax"/>
        </c:scaling>
        <c:delete val="0"/>
        <c:axPos val="b"/>
        <c:majorGridlines>
          <c:spPr>
            <a:ln w="3175" cap="flat" cmpd="sng" algn="ctr">
              <a:solidFill>
                <a:schemeClr val="bg1"/>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crossAx val="548536863"/>
        <c:crosses val="autoZero"/>
        <c:auto val="1"/>
        <c:lblAlgn val="ctr"/>
        <c:lblOffset val="100"/>
        <c:noMultiLvlLbl val="0"/>
      </c:catAx>
      <c:valAx>
        <c:axId val="548536863"/>
        <c:scaling>
          <c:orientation val="minMax"/>
          <c:max val="12"/>
          <c:min val="0"/>
        </c:scaling>
        <c:delete val="0"/>
        <c:axPos val="l"/>
        <c:majorGridlines>
          <c:spPr>
            <a:ln w="3175" cap="flat" cmpd="sng" algn="ctr">
              <a:solidFill>
                <a:schemeClr val="bg1"/>
              </a:solidFill>
              <a:round/>
            </a:ln>
            <a:effectLst/>
          </c:spPr>
        </c:majorGridlines>
        <c:numFmt formatCode="#,##0" sourceLinked="0"/>
        <c:majorTickMark val="out"/>
        <c:minorTickMark val="none"/>
        <c:tickLblPos val="nextTo"/>
        <c:spPr>
          <a:noFill/>
          <a:ln w="12700">
            <a:solidFill>
              <a:schemeClr val="bg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crossAx val="724810879"/>
        <c:crosses val="autoZero"/>
        <c:crossBetween val="between"/>
      </c:valAx>
      <c:dTable>
        <c:showHorzBorder val="1"/>
        <c:showVertBorder val="1"/>
        <c:showOutline val="1"/>
        <c:showKeys val="0"/>
        <c:spPr>
          <a:noFill/>
          <a:ln w="12700" cap="flat" cmpd="sng" algn="ctr">
            <a:solidFill>
              <a:schemeClr val="bg1"/>
            </a:solidFill>
            <a:round/>
          </a:ln>
          <a:effectLst/>
        </c:spPr>
        <c:txPr>
          <a:bodyPr rot="0" spcFirstLastPara="1" vertOverflow="ellipsis" vert="horz" wrap="square" anchor="ctr" anchorCtr="1"/>
          <a:lstStyle/>
          <a:p>
            <a:pPr rtl="0">
              <a:defRPr sz="800" b="1"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dTable>
      <c:spPr>
        <a:noFill/>
        <a:ln>
          <a:noFill/>
        </a:ln>
        <a:effectLst/>
      </c:spPr>
    </c:plotArea>
    <c:plotVisOnly val="1"/>
    <c:dispBlanksAs val="gap"/>
    <c:showDLblsOverMax val="0"/>
  </c:chart>
  <c:spPr>
    <a:noFill/>
    <a:ln w="9525" cap="flat" cmpd="sng" algn="ctr">
      <a:noFill/>
      <a:round/>
    </a:ln>
    <a:effectLst/>
  </c:spPr>
  <c:txPr>
    <a:bodyPr/>
    <a:lstStyle/>
    <a:p>
      <a:pPr>
        <a:defRPr sz="800">
          <a:latin typeface="Arial Narrow" panose="020B0606020202030204" pitchFamily="34" charset="0"/>
        </a:defRPr>
      </a:pPr>
      <a:endParaRPr lang="it-I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111151803698957E-2"/>
          <c:y val="0.11585287336320529"/>
          <c:w val="0.92464415658861654"/>
          <c:h val="0.77101579153434563"/>
        </c:manualLayout>
      </c:layout>
      <c:lineChart>
        <c:grouping val="standard"/>
        <c:varyColors val="0"/>
        <c:ser>
          <c:idx val="0"/>
          <c:order val="0"/>
          <c:tx>
            <c:strRef>
              <c:f>Foglio1!$B$2</c:f>
              <c:strCache>
                <c:ptCount val="1"/>
                <c:pt idx="0">
                  <c:v>prezzi correnti</c:v>
                </c:pt>
              </c:strCache>
            </c:strRef>
          </c:tx>
          <c:spPr>
            <a:ln w="28575" cap="rnd">
              <a:solidFill>
                <a:srgbClr val="1F497D"/>
              </a:solidFill>
              <a:round/>
            </a:ln>
            <a:effectLst/>
          </c:spPr>
          <c:marker>
            <c:symbol val="none"/>
          </c:marker>
          <c:cat>
            <c:numRef>
              <c:f>Foglio1!$A$3:$A$21</c:f>
              <c:numCache>
                <c:formatCode>General</c:formatCode>
                <c:ptCount val="19"/>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numCache>
            </c:numRef>
          </c:cat>
          <c:val>
            <c:numRef>
              <c:f>Foglio1!$B$3:$B$21</c:f>
              <c:numCache>
                <c:formatCode>_-* #,##0.0_-;\-* #,##0.0_-;_-* "-"??_-;_-@_-</c:formatCode>
                <c:ptCount val="19"/>
                <c:pt idx="0">
                  <c:v>0.11851415900000001</c:v>
                </c:pt>
                <c:pt idx="1">
                  <c:v>0.127256226</c:v>
                </c:pt>
                <c:pt idx="2">
                  <c:v>0.13672508999999999</c:v>
                </c:pt>
                <c:pt idx="3">
                  <c:v>0.15008490199999999</c:v>
                </c:pt>
                <c:pt idx="4">
                  <c:v>0.18305274499999999</c:v>
                </c:pt>
                <c:pt idx="5">
                  <c:v>0.18140267499999999</c:v>
                </c:pt>
                <c:pt idx="6">
                  <c:v>0.19269402899999999</c:v>
                </c:pt>
                <c:pt idx="7">
                  <c:v>0.18441189700000002</c:v>
                </c:pt>
                <c:pt idx="8">
                  <c:v>0.18902359300000002</c:v>
                </c:pt>
                <c:pt idx="9">
                  <c:v>0.19483863700000001</c:v>
                </c:pt>
                <c:pt idx="10">
                  <c:v>0.20031555100000001</c:v>
                </c:pt>
                <c:pt idx="11">
                  <c:v>0.24651466699999999</c:v>
                </c:pt>
                <c:pt idx="12">
                  <c:v>0.282348337</c:v>
                </c:pt>
                <c:pt idx="13">
                  <c:v>0.33909734499999999</c:v>
                </c:pt>
                <c:pt idx="14">
                  <c:v>0.34764156300000004</c:v>
                </c:pt>
                <c:pt idx="15">
                  <c:v>0.35227016099999997</c:v>
                </c:pt>
                <c:pt idx="16">
                  <c:v>0.32957258500000003</c:v>
                </c:pt>
                <c:pt idx="17">
                  <c:v>0.33688440600000003</c:v>
                </c:pt>
                <c:pt idx="18">
                  <c:v>0.34974650600000001</c:v>
                </c:pt>
              </c:numCache>
            </c:numRef>
          </c:val>
          <c:smooth val="0"/>
          <c:extLst>
            <c:ext xmlns:c16="http://schemas.microsoft.com/office/drawing/2014/chart" uri="{C3380CC4-5D6E-409C-BE32-E72D297353CC}">
              <c16:uniqueId val="{00000000-01BE-43EF-B013-AB53FC804FE8}"/>
            </c:ext>
          </c:extLst>
        </c:ser>
        <c:ser>
          <c:idx val="1"/>
          <c:order val="1"/>
          <c:tx>
            <c:strRef>
              <c:f>Foglio1!$C$2</c:f>
              <c:strCache>
                <c:ptCount val="1"/>
                <c:pt idx="0">
                  <c:v>prezzi costanti</c:v>
                </c:pt>
              </c:strCache>
            </c:strRef>
          </c:tx>
          <c:spPr>
            <a:ln w="28575" cap="rnd">
              <a:solidFill>
                <a:srgbClr val="E42618"/>
              </a:solidFill>
              <a:round/>
            </a:ln>
            <a:effectLst/>
          </c:spPr>
          <c:marker>
            <c:symbol val="none"/>
          </c:marker>
          <c:cat>
            <c:numRef>
              <c:f>Foglio1!$A$3:$A$21</c:f>
              <c:numCache>
                <c:formatCode>General</c:formatCode>
                <c:ptCount val="19"/>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numCache>
            </c:numRef>
          </c:cat>
          <c:val>
            <c:numRef>
              <c:f>Foglio1!$C$3:$C$21</c:f>
              <c:numCache>
                <c:formatCode>_-* #,##0.000\ _€_-;\-* #,##0.000\ _€_-;_-* "-"???\ _€_-;_-@_-</c:formatCode>
                <c:ptCount val="19"/>
                <c:pt idx="0">
                  <c:v>0.15027595361200002</c:v>
                </c:pt>
                <c:pt idx="1">
                  <c:v>0.15830674514400001</c:v>
                </c:pt>
                <c:pt idx="2">
                  <c:v>0.16721478507000001</c:v>
                </c:pt>
                <c:pt idx="3">
                  <c:v>0.179951797498</c:v>
                </c:pt>
                <c:pt idx="4">
                  <c:v>0.215819186355</c:v>
                </c:pt>
                <c:pt idx="5">
                  <c:v>0.20716185484999997</c:v>
                </c:pt>
                <c:pt idx="6">
                  <c:v>0.21832233485699998</c:v>
                </c:pt>
                <c:pt idx="7">
                  <c:v>0.20580367705200003</c:v>
                </c:pt>
                <c:pt idx="8">
                  <c:v>0.205468645591</c:v>
                </c:pt>
                <c:pt idx="9">
                  <c:v>0.205554762035</c:v>
                </c:pt>
                <c:pt idx="10">
                  <c:v>0.20892911969299999</c:v>
                </c:pt>
                <c:pt idx="11">
                  <c:v>0.25662176834699996</c:v>
                </c:pt>
                <c:pt idx="12">
                  <c:v>0.29420696715400002</c:v>
                </c:pt>
                <c:pt idx="13">
                  <c:v>0.35367853083499995</c:v>
                </c:pt>
                <c:pt idx="14">
                  <c:v>0.35876609301600004</c:v>
                </c:pt>
                <c:pt idx="15">
                  <c:v>0.35966783438099992</c:v>
                </c:pt>
                <c:pt idx="16">
                  <c:v>0.33484574636000003</c:v>
                </c:pt>
                <c:pt idx="17">
                  <c:v>0.34328520971400001</c:v>
                </c:pt>
                <c:pt idx="18">
                  <c:v>0.34974650600000001</c:v>
                </c:pt>
              </c:numCache>
            </c:numRef>
          </c:val>
          <c:smooth val="0"/>
          <c:extLst>
            <c:ext xmlns:c16="http://schemas.microsoft.com/office/drawing/2014/chart" uri="{C3380CC4-5D6E-409C-BE32-E72D297353CC}">
              <c16:uniqueId val="{00000001-01BE-43EF-B013-AB53FC804FE8}"/>
            </c:ext>
          </c:extLst>
        </c:ser>
        <c:dLbls>
          <c:showLegendKey val="0"/>
          <c:showVal val="0"/>
          <c:showCatName val="0"/>
          <c:showSerName val="0"/>
          <c:showPercent val="0"/>
          <c:showBubbleSize val="0"/>
        </c:dLbls>
        <c:smooth val="0"/>
        <c:axId val="861676991"/>
        <c:axId val="861683647"/>
      </c:lineChart>
      <c:catAx>
        <c:axId val="861676991"/>
        <c:scaling>
          <c:orientation val="minMax"/>
        </c:scaling>
        <c:delete val="0"/>
        <c:axPos val="b"/>
        <c:majorGridlines>
          <c:spPr>
            <a:ln w="3175" cap="flat" cmpd="sng" algn="ctr">
              <a:solidFill>
                <a:schemeClr val="bg1"/>
              </a:solidFill>
              <a:round/>
            </a:ln>
            <a:effectLst/>
          </c:spPr>
        </c:majorGridlines>
        <c:numFmt formatCode="General" sourceLinked="1"/>
        <c:majorTickMark val="out"/>
        <c:minorTickMark val="none"/>
        <c:tickLblPos val="nextTo"/>
        <c:spPr>
          <a:noFill/>
          <a:ln w="12700" cap="flat" cmpd="sng" algn="ctr">
            <a:solidFill>
              <a:schemeClr val="bg1"/>
            </a:solidFill>
            <a:round/>
          </a:ln>
          <a:effectLst/>
        </c:spPr>
        <c:txPr>
          <a:bodyPr rot="-60000000" spcFirstLastPara="1" vertOverflow="ellipsis" vert="horz" wrap="square" anchor="ctr" anchorCtr="1"/>
          <a:lstStyle/>
          <a:p>
            <a:pPr>
              <a:defRPr sz="800" b="1" i="0" u="none" strike="noStrike" kern="1200" baseline="0">
                <a:solidFill>
                  <a:schemeClr val="tx1">
                    <a:lumMod val="85000"/>
                    <a:lumOff val="15000"/>
                  </a:schemeClr>
                </a:solidFill>
                <a:latin typeface="Arial Narrow" panose="020B0606020202030204" pitchFamily="34" charset="0"/>
                <a:ea typeface="+mn-ea"/>
                <a:cs typeface="+mn-cs"/>
              </a:defRPr>
            </a:pPr>
            <a:endParaRPr lang="it-IT"/>
          </a:p>
        </c:txPr>
        <c:crossAx val="861683647"/>
        <c:crosses val="autoZero"/>
        <c:auto val="1"/>
        <c:lblAlgn val="ctr"/>
        <c:lblOffset val="100"/>
        <c:noMultiLvlLbl val="0"/>
      </c:catAx>
      <c:valAx>
        <c:axId val="861683647"/>
        <c:scaling>
          <c:orientation val="minMax"/>
        </c:scaling>
        <c:delete val="0"/>
        <c:axPos val="l"/>
        <c:majorGridlines>
          <c:spPr>
            <a:ln w="3175" cap="flat" cmpd="sng" algn="ctr">
              <a:solidFill>
                <a:schemeClr val="bg1"/>
              </a:solidFill>
              <a:round/>
            </a:ln>
            <a:effectLst/>
          </c:spPr>
        </c:majorGridlines>
        <c:numFmt formatCode="_-* #,##0.0_-;\-* #,##0.0_-;_-* &quot;-&quot;??_-;_-@_-" sourceLinked="1"/>
        <c:majorTickMark val="out"/>
        <c:minorTickMark val="none"/>
        <c:tickLblPos val="nextTo"/>
        <c:spPr>
          <a:noFill/>
          <a:ln w="12700">
            <a:solidFill>
              <a:schemeClr val="bg1"/>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Arial Narrow" panose="020B0606020202030204" pitchFamily="34" charset="0"/>
                <a:ea typeface="+mn-ea"/>
                <a:cs typeface="+mn-cs"/>
              </a:defRPr>
            </a:pPr>
            <a:endParaRPr lang="it-IT"/>
          </a:p>
        </c:txPr>
        <c:crossAx val="861676991"/>
        <c:crosses val="autoZero"/>
        <c:crossBetween val="between"/>
      </c:valAx>
      <c:spPr>
        <a:noFill/>
        <a:ln>
          <a:noFill/>
        </a:ln>
        <a:effectLst/>
      </c:spPr>
    </c:plotArea>
    <c:legend>
      <c:legendPos val="t"/>
      <c:layout>
        <c:manualLayout>
          <c:xMode val="edge"/>
          <c:yMode val="edge"/>
          <c:x val="0.33885273440920999"/>
          <c:y val="1.6574585635359115E-2"/>
          <c:w val="0.31380771072608943"/>
          <c:h val="7.8373665333718104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Arial Narrow" panose="020B0606020202030204" pitchFamily="34" charset="0"/>
              <a:ea typeface="+mn-ea"/>
              <a:cs typeface="+mn-cs"/>
            </a:defRPr>
          </a:pPr>
          <a:endParaRPr lang="it-IT"/>
        </a:p>
      </c:txPr>
    </c:legend>
    <c:plotVisOnly val="1"/>
    <c:dispBlanksAs val="gap"/>
    <c:showDLblsOverMax val="0"/>
  </c:chart>
  <c:spPr>
    <a:noFill/>
    <a:ln w="9525" cap="flat" cmpd="sng" algn="ctr">
      <a:noFill/>
      <a:round/>
    </a:ln>
    <a:effectLst/>
  </c:spPr>
  <c:txPr>
    <a:bodyPr/>
    <a:lstStyle/>
    <a:p>
      <a:pPr>
        <a:defRPr sz="800">
          <a:solidFill>
            <a:schemeClr val="tx1">
              <a:lumMod val="85000"/>
              <a:lumOff val="15000"/>
            </a:schemeClr>
          </a:solidFill>
          <a:latin typeface="Arial Narrow" panose="020B0606020202030204" pitchFamily="34" charset="0"/>
        </a:defRPr>
      </a:pPr>
      <a:endParaRPr lang="it-I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0475322632148733E-2"/>
          <c:y val="0.21735666673379386"/>
          <c:w val="0.88105781287724794"/>
          <c:h val="0.69812312463499604"/>
        </c:manualLayout>
      </c:layout>
      <c:barChart>
        <c:barDir val="bar"/>
        <c:grouping val="percentStacked"/>
        <c:varyColors val="0"/>
        <c:ser>
          <c:idx val="0"/>
          <c:order val="0"/>
          <c:tx>
            <c:strRef>
              <c:f>'[tabella e grafici.xlsx]Figura 7'!$B$4</c:f>
              <c:strCache>
                <c:ptCount val="1"/>
                <c:pt idx="0">
                  <c:v>Fondo indistinto per le politiche sociali</c:v>
                </c:pt>
              </c:strCache>
            </c:strRef>
          </c:tx>
          <c:spPr>
            <a:solidFill>
              <a:srgbClr val="1F497D"/>
            </a:solidFill>
          </c:spPr>
          <c:invertIfNegative val="0"/>
          <c:dLbls>
            <c:spPr>
              <a:noFill/>
              <a:ln>
                <a:noFill/>
              </a:ln>
              <a:effectLst/>
            </c:spPr>
            <c:txPr>
              <a:bodyPr/>
              <a:lstStyle/>
              <a:p>
                <a:pPr algn="ctr">
                  <a:defRPr sz="700" b="1">
                    <a:solidFill>
                      <a:schemeClr val="bg1"/>
                    </a:solidFill>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'[tabella e grafici.xlsx]Figura 7'!$A$5:$A$10</c:f>
              <c:strCache>
                <c:ptCount val="6"/>
                <c:pt idx="0">
                  <c:v>Nord-ovest</c:v>
                </c:pt>
                <c:pt idx="1">
                  <c:v>Nord-est</c:v>
                </c:pt>
                <c:pt idx="2">
                  <c:v>Centro</c:v>
                </c:pt>
                <c:pt idx="3">
                  <c:v>Sud</c:v>
                </c:pt>
                <c:pt idx="4">
                  <c:v>Isole</c:v>
                </c:pt>
                <c:pt idx="5">
                  <c:v>ITALIA</c:v>
                </c:pt>
              </c:strCache>
            </c:strRef>
          </c:cat>
          <c:val>
            <c:numRef>
              <c:f>'[tabella e grafici.xlsx]Figura 7'!$B$5:$B$10</c:f>
              <c:numCache>
                <c:formatCode>_-* #,##0.0_-;\-* #,##0.0_-;_-* "-"?_-;_-@_-</c:formatCode>
                <c:ptCount val="6"/>
                <c:pt idx="0">
                  <c:v>6.3</c:v>
                </c:pt>
                <c:pt idx="1">
                  <c:v>6.1</c:v>
                </c:pt>
                <c:pt idx="2">
                  <c:v>5.6</c:v>
                </c:pt>
                <c:pt idx="3">
                  <c:v>13.3</c:v>
                </c:pt>
                <c:pt idx="4">
                  <c:v>15.9</c:v>
                </c:pt>
                <c:pt idx="5">
                  <c:v>7.8</c:v>
                </c:pt>
              </c:numCache>
            </c:numRef>
          </c:val>
          <c:extLst>
            <c:ext xmlns:c16="http://schemas.microsoft.com/office/drawing/2014/chart" uri="{C3380CC4-5D6E-409C-BE32-E72D297353CC}">
              <c16:uniqueId val="{00000000-0796-4C1F-B03F-50C1CB903B94}"/>
            </c:ext>
          </c:extLst>
        </c:ser>
        <c:ser>
          <c:idx val="6"/>
          <c:order val="1"/>
          <c:tx>
            <c:strRef>
              <c:f>'[tabella e grafici.xlsx]Figura 7'!$C$4</c:f>
              <c:strCache>
                <c:ptCount val="1"/>
                <c:pt idx="0">
                  <c:v>Fondi regionali vincolati per le politiche sociali </c:v>
                </c:pt>
              </c:strCache>
            </c:strRef>
          </c:tx>
          <c:spPr>
            <a:solidFill>
              <a:srgbClr val="E42618"/>
            </a:solidFill>
          </c:spPr>
          <c:invertIfNegative val="0"/>
          <c:dLbls>
            <c:spPr>
              <a:noFill/>
              <a:ln>
                <a:noFill/>
              </a:ln>
              <a:effectLst/>
            </c:spPr>
            <c:txPr>
              <a:bodyPr/>
              <a:lstStyle/>
              <a:p>
                <a:pPr algn="ctr">
                  <a:defRPr b="1">
                    <a:solidFill>
                      <a:schemeClr val="bg1"/>
                    </a:solidFill>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'[tabella e grafici.xlsx]Figura 7'!$A$5:$A$10</c:f>
              <c:strCache>
                <c:ptCount val="6"/>
                <c:pt idx="0">
                  <c:v>Nord-ovest</c:v>
                </c:pt>
                <c:pt idx="1">
                  <c:v>Nord-est</c:v>
                </c:pt>
                <c:pt idx="2">
                  <c:v>Centro</c:v>
                </c:pt>
                <c:pt idx="3">
                  <c:v>Sud</c:v>
                </c:pt>
                <c:pt idx="4">
                  <c:v>Isole</c:v>
                </c:pt>
                <c:pt idx="5">
                  <c:v>ITALIA</c:v>
                </c:pt>
              </c:strCache>
            </c:strRef>
          </c:cat>
          <c:val>
            <c:numRef>
              <c:f>'[tabella e grafici.xlsx]Figura 7'!$C$5:$C$10</c:f>
              <c:numCache>
                <c:formatCode>_-* #,##0.0_-;\-* #,##0.0_-;_-* "-"?_-;_-@_-</c:formatCode>
                <c:ptCount val="6"/>
                <c:pt idx="0">
                  <c:v>13.4</c:v>
                </c:pt>
                <c:pt idx="1">
                  <c:v>19.8</c:v>
                </c:pt>
                <c:pt idx="2">
                  <c:v>14.8</c:v>
                </c:pt>
                <c:pt idx="3">
                  <c:v>18.8</c:v>
                </c:pt>
                <c:pt idx="4">
                  <c:v>35.900000000000013</c:v>
                </c:pt>
                <c:pt idx="5">
                  <c:v>18.3</c:v>
                </c:pt>
              </c:numCache>
            </c:numRef>
          </c:val>
          <c:extLst>
            <c:ext xmlns:c16="http://schemas.microsoft.com/office/drawing/2014/chart" uri="{C3380CC4-5D6E-409C-BE32-E72D297353CC}">
              <c16:uniqueId val="{00000001-0796-4C1F-B03F-50C1CB903B94}"/>
            </c:ext>
          </c:extLst>
        </c:ser>
        <c:ser>
          <c:idx val="1"/>
          <c:order val="2"/>
          <c:tx>
            <c:strRef>
              <c:f>'[tabella e grafici.xlsx]Figura 7'!$D$4</c:f>
              <c:strCache>
                <c:ptCount val="1"/>
                <c:pt idx="0">
                  <c:v>Fondi vincolati per le politiche sociali dallo Stato o da Unione europea </c:v>
                </c:pt>
              </c:strCache>
            </c:strRef>
          </c:tx>
          <c:spPr>
            <a:solidFill>
              <a:schemeClr val="accent3"/>
            </a:solidFill>
          </c:spPr>
          <c:invertIfNegative val="0"/>
          <c:dLbls>
            <c:spPr>
              <a:noFill/>
              <a:ln>
                <a:noFill/>
              </a:ln>
              <a:effectLst/>
            </c:spPr>
            <c:txPr>
              <a:bodyPr/>
              <a:lstStyle/>
              <a:p>
                <a:pPr algn="ctr">
                  <a:defRPr b="1"/>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'[tabella e grafici.xlsx]Figura 7'!$A$5:$A$10</c:f>
              <c:strCache>
                <c:ptCount val="6"/>
                <c:pt idx="0">
                  <c:v>Nord-ovest</c:v>
                </c:pt>
                <c:pt idx="1">
                  <c:v>Nord-est</c:v>
                </c:pt>
                <c:pt idx="2">
                  <c:v>Centro</c:v>
                </c:pt>
                <c:pt idx="3">
                  <c:v>Sud</c:v>
                </c:pt>
                <c:pt idx="4">
                  <c:v>Isole</c:v>
                </c:pt>
                <c:pt idx="5">
                  <c:v>ITALIA</c:v>
                </c:pt>
              </c:strCache>
            </c:strRef>
          </c:cat>
          <c:val>
            <c:numRef>
              <c:f>'[tabella e grafici.xlsx]Figura 7'!$D$5:$D$10</c:f>
              <c:numCache>
                <c:formatCode>_-* #,##0.0_-;\-* #,##0.0_-;_-* "-"?_-;_-@_-</c:formatCode>
                <c:ptCount val="6"/>
                <c:pt idx="0">
                  <c:v>9.9</c:v>
                </c:pt>
                <c:pt idx="1">
                  <c:v>8.6999999999999993</c:v>
                </c:pt>
                <c:pt idx="2">
                  <c:v>11.5</c:v>
                </c:pt>
                <c:pt idx="3">
                  <c:v>23.6</c:v>
                </c:pt>
                <c:pt idx="4">
                  <c:v>15.8</c:v>
                </c:pt>
                <c:pt idx="5">
                  <c:v>12</c:v>
                </c:pt>
              </c:numCache>
            </c:numRef>
          </c:val>
          <c:extLst>
            <c:ext xmlns:c16="http://schemas.microsoft.com/office/drawing/2014/chart" uri="{C3380CC4-5D6E-409C-BE32-E72D297353CC}">
              <c16:uniqueId val="{00000002-0796-4C1F-B03F-50C1CB903B94}"/>
            </c:ext>
          </c:extLst>
        </c:ser>
        <c:ser>
          <c:idx val="2"/>
          <c:order val="3"/>
          <c:tx>
            <c:strRef>
              <c:f>'[tabella e grafici.xlsx]Figura 7'!$E$4</c:f>
              <c:strCache>
                <c:ptCount val="1"/>
                <c:pt idx="0">
                  <c:v>Altri trasferimenti da Enti pubblici</c:v>
                </c:pt>
              </c:strCache>
            </c:strRef>
          </c:tx>
          <c:spPr>
            <a:solidFill>
              <a:schemeClr val="accent4"/>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'[tabella e grafici.xlsx]Figura 7'!$A$5:$A$10</c:f>
              <c:strCache>
                <c:ptCount val="6"/>
                <c:pt idx="0">
                  <c:v>Nord-ovest</c:v>
                </c:pt>
                <c:pt idx="1">
                  <c:v>Nord-est</c:v>
                </c:pt>
                <c:pt idx="2">
                  <c:v>Centro</c:v>
                </c:pt>
                <c:pt idx="3">
                  <c:v>Sud</c:v>
                </c:pt>
                <c:pt idx="4">
                  <c:v>Isole</c:v>
                </c:pt>
                <c:pt idx="5">
                  <c:v>ITALIA</c:v>
                </c:pt>
              </c:strCache>
            </c:strRef>
          </c:cat>
          <c:val>
            <c:numRef>
              <c:f>'[tabella e grafici.xlsx]Figura 7'!$E$5:$E$10</c:f>
              <c:numCache>
                <c:formatCode>_-* #,##0.0_-;\-* #,##0.0_-;_-* "-"?_-;_-@_-</c:formatCode>
                <c:ptCount val="6"/>
                <c:pt idx="0">
                  <c:v>2.7</c:v>
                </c:pt>
                <c:pt idx="1">
                  <c:v>2.5</c:v>
                </c:pt>
                <c:pt idx="2">
                  <c:v>5.6</c:v>
                </c:pt>
                <c:pt idx="3">
                  <c:v>6.5</c:v>
                </c:pt>
                <c:pt idx="4">
                  <c:v>2.6</c:v>
                </c:pt>
                <c:pt idx="5">
                  <c:v>3.7</c:v>
                </c:pt>
              </c:numCache>
            </c:numRef>
          </c:val>
          <c:extLst>
            <c:ext xmlns:c16="http://schemas.microsoft.com/office/drawing/2014/chart" uri="{C3380CC4-5D6E-409C-BE32-E72D297353CC}">
              <c16:uniqueId val="{00000003-0796-4C1F-B03F-50C1CB903B94}"/>
            </c:ext>
          </c:extLst>
        </c:ser>
        <c:ser>
          <c:idx val="3"/>
          <c:order val="4"/>
          <c:tx>
            <c:strRef>
              <c:f>'[tabella e grafici.xlsx]Figura 7'!$F$4</c:f>
              <c:strCache>
                <c:ptCount val="1"/>
                <c:pt idx="0">
                  <c:v>Trasferimento fondi da privati</c:v>
                </c:pt>
              </c:strCache>
            </c:strRef>
          </c:tx>
          <c:spPr>
            <a:solidFill>
              <a:schemeClr val="accent6"/>
            </a:solidFill>
          </c:spPr>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'[tabella e grafici.xlsx]Figura 7'!$A$5:$A$10</c:f>
              <c:strCache>
                <c:ptCount val="6"/>
                <c:pt idx="0">
                  <c:v>Nord-ovest</c:v>
                </c:pt>
                <c:pt idx="1">
                  <c:v>Nord-est</c:v>
                </c:pt>
                <c:pt idx="2">
                  <c:v>Centro</c:v>
                </c:pt>
                <c:pt idx="3">
                  <c:v>Sud</c:v>
                </c:pt>
                <c:pt idx="4">
                  <c:v>Isole</c:v>
                </c:pt>
                <c:pt idx="5">
                  <c:v>ITALIA</c:v>
                </c:pt>
              </c:strCache>
            </c:strRef>
          </c:cat>
          <c:val>
            <c:numRef>
              <c:f>'[tabella e grafici.xlsx]Figura 7'!$F$5:$F$10</c:f>
              <c:numCache>
                <c:formatCode>_-* #,##0.0_-;\-* #,##0.0_-;_-* "-"?_-;_-@_-</c:formatCode>
                <c:ptCount val="6"/>
                <c:pt idx="0">
                  <c:v>1.3</c:v>
                </c:pt>
                <c:pt idx="1">
                  <c:v>1</c:v>
                </c:pt>
                <c:pt idx="2">
                  <c:v>0.3</c:v>
                </c:pt>
                <c:pt idx="3">
                  <c:v>0.5</c:v>
                </c:pt>
                <c:pt idx="4">
                  <c:v>0.3</c:v>
                </c:pt>
                <c:pt idx="5">
                  <c:v>0.8</c:v>
                </c:pt>
              </c:numCache>
            </c:numRef>
          </c:val>
          <c:extLst>
            <c:ext xmlns:c16="http://schemas.microsoft.com/office/drawing/2014/chart" uri="{C3380CC4-5D6E-409C-BE32-E72D297353CC}">
              <c16:uniqueId val="{00000004-0796-4C1F-B03F-50C1CB903B94}"/>
            </c:ext>
          </c:extLst>
        </c:ser>
        <c:ser>
          <c:idx val="4"/>
          <c:order val="5"/>
          <c:tx>
            <c:strRef>
              <c:f>'[tabella e grafici.xlsx]Figura 7'!$G$4</c:f>
              <c:strCache>
                <c:ptCount val="1"/>
                <c:pt idx="0">
                  <c:v>Risorse proprie dei Comuni</c:v>
                </c:pt>
              </c:strCache>
            </c:strRef>
          </c:tx>
          <c:spPr>
            <a:solidFill>
              <a:schemeClr val="accent5">
                <a:lumMod val="75000"/>
              </a:schemeClr>
            </a:solidFill>
          </c:spPr>
          <c:invertIfNegative val="0"/>
          <c:dLbls>
            <c:spPr>
              <a:noFill/>
              <a:ln>
                <a:noFill/>
              </a:ln>
              <a:effectLst/>
            </c:spPr>
            <c:txPr>
              <a:bodyPr/>
              <a:lstStyle/>
              <a:p>
                <a:pPr>
                  <a:defRPr b="1">
                    <a:solidFill>
                      <a:schemeClr val="bg1"/>
                    </a:solidFill>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'[tabella e grafici.xlsx]Figura 7'!$A$5:$A$10</c:f>
              <c:strCache>
                <c:ptCount val="6"/>
                <c:pt idx="0">
                  <c:v>Nord-ovest</c:v>
                </c:pt>
                <c:pt idx="1">
                  <c:v>Nord-est</c:v>
                </c:pt>
                <c:pt idx="2">
                  <c:v>Centro</c:v>
                </c:pt>
                <c:pt idx="3">
                  <c:v>Sud</c:v>
                </c:pt>
                <c:pt idx="4">
                  <c:v>Isole</c:v>
                </c:pt>
                <c:pt idx="5">
                  <c:v>ITALIA</c:v>
                </c:pt>
              </c:strCache>
            </c:strRef>
          </c:cat>
          <c:val>
            <c:numRef>
              <c:f>'[tabella e grafici.xlsx]Figura 7'!$G$5:$G$10</c:f>
              <c:numCache>
                <c:formatCode>_-* #,##0.0_-;\-* #,##0.0_-;_-* "-"?_-;_-@_-</c:formatCode>
                <c:ptCount val="6"/>
                <c:pt idx="0">
                  <c:v>64.900000000000006</c:v>
                </c:pt>
                <c:pt idx="1">
                  <c:v>45.7</c:v>
                </c:pt>
                <c:pt idx="2">
                  <c:v>60</c:v>
                </c:pt>
                <c:pt idx="3">
                  <c:v>33</c:v>
                </c:pt>
                <c:pt idx="4">
                  <c:v>29</c:v>
                </c:pt>
                <c:pt idx="5">
                  <c:v>51.499999999999993</c:v>
                </c:pt>
              </c:numCache>
            </c:numRef>
          </c:val>
          <c:extLst>
            <c:ext xmlns:c16="http://schemas.microsoft.com/office/drawing/2014/chart" uri="{C3380CC4-5D6E-409C-BE32-E72D297353CC}">
              <c16:uniqueId val="{00000005-0796-4C1F-B03F-50C1CB903B94}"/>
            </c:ext>
          </c:extLst>
        </c:ser>
        <c:ser>
          <c:idx val="5"/>
          <c:order val="6"/>
          <c:tx>
            <c:strRef>
              <c:f>'[tabella e grafici.xlsx]Figura 7'!$H$4</c:f>
              <c:strCache>
                <c:ptCount val="1"/>
                <c:pt idx="0">
                  <c:v>Risorse proprie degli Enti associativi</c:v>
                </c:pt>
              </c:strCache>
            </c:strRef>
          </c:tx>
          <c:spPr>
            <a:solidFill>
              <a:schemeClr val="bg1">
                <a:lumMod val="65000"/>
              </a:schemeClr>
            </a:solidFill>
          </c:spPr>
          <c:invertIfNegative val="0"/>
          <c:dLbls>
            <c:dLbl>
              <c:idx val="0"/>
              <c:layout>
                <c:manualLayout>
                  <c:x val="-7.4321813452249324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796-4C1F-B03F-50C1CB903B94}"/>
                </c:ext>
              </c:extLst>
            </c:dLbl>
            <c:dLbl>
              <c:idx val="2"/>
              <c:layout>
                <c:manualLayout>
                  <c:x val="-8.9186176142698973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796-4C1F-B03F-50C1CB903B94}"/>
                </c:ext>
              </c:extLst>
            </c:dLbl>
            <c:dLbl>
              <c:idx val="4"/>
              <c:layout>
                <c:manualLayout>
                  <c:x val="-1.1891490152359718E-2"/>
                  <c:y val="0"/>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2.8836863619472314E-2"/>
                      <c:h val="5.594064521462376E-2"/>
                    </c:manualLayout>
                  </c15:layout>
                </c:ext>
                <c:ext xmlns:c16="http://schemas.microsoft.com/office/drawing/2014/chart" uri="{C3380CC4-5D6E-409C-BE32-E72D297353CC}">
                  <c16:uniqueId val="{00000008-0796-4C1F-B03F-50C1CB903B94}"/>
                </c:ext>
              </c:extLst>
            </c:dLbl>
            <c:spPr>
              <a:noFill/>
              <a:ln>
                <a:noFill/>
              </a:ln>
              <a:effectLst/>
            </c:spPr>
            <c:txPr>
              <a:bodyPr/>
              <a:lstStyle/>
              <a:p>
                <a:pPr algn="ctr">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'[tabella e grafici.xlsx]Figura 7'!$A$5:$A$10</c:f>
              <c:strCache>
                <c:ptCount val="6"/>
                <c:pt idx="0">
                  <c:v>Nord-ovest</c:v>
                </c:pt>
                <c:pt idx="1">
                  <c:v>Nord-est</c:v>
                </c:pt>
                <c:pt idx="2">
                  <c:v>Centro</c:v>
                </c:pt>
                <c:pt idx="3">
                  <c:v>Sud</c:v>
                </c:pt>
                <c:pt idx="4">
                  <c:v>Isole</c:v>
                </c:pt>
                <c:pt idx="5">
                  <c:v>ITALIA</c:v>
                </c:pt>
              </c:strCache>
            </c:strRef>
          </c:cat>
          <c:val>
            <c:numRef>
              <c:f>'[tabella e grafici.xlsx]Figura 7'!$H$5:$H$10</c:f>
              <c:numCache>
                <c:formatCode>_-* #,##0.0_-;\-* #,##0.0_-;_-* "-"?_-;_-@_-</c:formatCode>
                <c:ptCount val="6"/>
                <c:pt idx="0">
                  <c:v>1.5</c:v>
                </c:pt>
                <c:pt idx="1">
                  <c:v>16.2</c:v>
                </c:pt>
                <c:pt idx="2">
                  <c:v>2.2000000000000002</c:v>
                </c:pt>
                <c:pt idx="3">
                  <c:v>4.3</c:v>
                </c:pt>
                <c:pt idx="4">
                  <c:v>0.5</c:v>
                </c:pt>
                <c:pt idx="5">
                  <c:v>5.9</c:v>
                </c:pt>
              </c:numCache>
            </c:numRef>
          </c:val>
          <c:extLst>
            <c:ext xmlns:c16="http://schemas.microsoft.com/office/drawing/2014/chart" uri="{C3380CC4-5D6E-409C-BE32-E72D297353CC}">
              <c16:uniqueId val="{00000009-0796-4C1F-B03F-50C1CB903B94}"/>
            </c:ext>
          </c:extLst>
        </c:ser>
        <c:dLbls>
          <c:showLegendKey val="0"/>
          <c:showVal val="0"/>
          <c:showCatName val="0"/>
          <c:showSerName val="0"/>
          <c:showPercent val="0"/>
          <c:showBubbleSize val="0"/>
        </c:dLbls>
        <c:gapWidth val="90"/>
        <c:overlap val="100"/>
        <c:axId val="292229680"/>
        <c:axId val="292229120"/>
      </c:barChart>
      <c:catAx>
        <c:axId val="292229680"/>
        <c:scaling>
          <c:orientation val="minMax"/>
        </c:scaling>
        <c:delete val="0"/>
        <c:axPos val="l"/>
        <c:majorGridlines>
          <c:spPr>
            <a:ln w="3175">
              <a:solidFill>
                <a:schemeClr val="bg1"/>
              </a:solidFill>
            </a:ln>
          </c:spPr>
        </c:majorGridlines>
        <c:numFmt formatCode="General" sourceLinked="0"/>
        <c:majorTickMark val="out"/>
        <c:minorTickMark val="none"/>
        <c:tickLblPos val="nextTo"/>
        <c:spPr>
          <a:ln w="12700">
            <a:solidFill>
              <a:schemeClr val="bg1"/>
            </a:solidFill>
          </a:ln>
        </c:spPr>
        <c:txPr>
          <a:bodyPr/>
          <a:lstStyle/>
          <a:p>
            <a:pPr>
              <a:defRPr b="1"/>
            </a:pPr>
            <a:endParaRPr lang="it-IT"/>
          </a:p>
        </c:txPr>
        <c:crossAx val="292229120"/>
        <c:crosses val="autoZero"/>
        <c:auto val="1"/>
        <c:lblAlgn val="ctr"/>
        <c:lblOffset val="100"/>
        <c:noMultiLvlLbl val="0"/>
      </c:catAx>
      <c:valAx>
        <c:axId val="292229120"/>
        <c:scaling>
          <c:orientation val="minMax"/>
        </c:scaling>
        <c:delete val="0"/>
        <c:axPos val="b"/>
        <c:majorGridlines>
          <c:spPr>
            <a:ln w="3175">
              <a:solidFill>
                <a:schemeClr val="bg1"/>
              </a:solidFill>
              <a:prstDash val="solid"/>
            </a:ln>
          </c:spPr>
        </c:majorGridlines>
        <c:numFmt formatCode="0%" sourceLinked="0"/>
        <c:majorTickMark val="out"/>
        <c:minorTickMark val="none"/>
        <c:tickLblPos val="nextTo"/>
        <c:spPr>
          <a:ln w="12700">
            <a:solidFill>
              <a:schemeClr val="bg1"/>
            </a:solidFill>
          </a:ln>
        </c:spPr>
        <c:crossAx val="292229680"/>
        <c:crosses val="autoZero"/>
        <c:crossBetween val="between"/>
      </c:valAx>
      <c:spPr>
        <a:noFill/>
        <a:ln>
          <a:noFill/>
        </a:ln>
      </c:spPr>
    </c:plotArea>
    <c:legend>
      <c:legendPos val="t"/>
      <c:layout>
        <c:manualLayout>
          <c:xMode val="edge"/>
          <c:yMode val="edge"/>
          <c:x val="8.6123507558587817E-2"/>
          <c:y val="2.4496937882764653E-2"/>
          <c:w val="0.91387649244141222"/>
          <c:h val="0.16884066657022204"/>
        </c:manualLayout>
      </c:layout>
      <c:overlay val="0"/>
    </c:legend>
    <c:plotVisOnly val="1"/>
    <c:dispBlanksAs val="gap"/>
    <c:showDLblsOverMax val="0"/>
  </c:chart>
  <c:spPr>
    <a:noFill/>
    <a:ln>
      <a:noFill/>
    </a:ln>
  </c:spPr>
  <c:txPr>
    <a:bodyPr/>
    <a:lstStyle/>
    <a:p>
      <a:pPr>
        <a:defRPr sz="800">
          <a:solidFill>
            <a:schemeClr val="tx1">
              <a:lumMod val="85000"/>
              <a:lumOff val="15000"/>
            </a:schemeClr>
          </a:solidFill>
          <a:latin typeface="Arial Narrow" panose="020B0606020202030204" pitchFamily="34" charset="0"/>
        </a:defRPr>
      </a:pPr>
      <a:endParaRPr lang="it-IT"/>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A3118C-8162-4189-BBA1-9A8DFA2FE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7060</Words>
  <Characters>39640</Characters>
  <Application>Microsoft Office Word</Application>
  <DocSecurity>4</DocSecurity>
  <Lines>330</Lines>
  <Paragraphs>93</Paragraphs>
  <ScaleCrop>false</ScaleCrop>
  <HeadingPairs>
    <vt:vector size="2" baseType="variant">
      <vt:variant>
        <vt:lpstr>Titolo</vt:lpstr>
      </vt:variant>
      <vt:variant>
        <vt:i4>1</vt:i4>
      </vt:variant>
    </vt:vector>
  </HeadingPairs>
  <TitlesOfParts>
    <vt:vector size="1" baseType="lpstr">
      <vt:lpstr/>
    </vt:vector>
  </TitlesOfParts>
  <Company>ISTAT</Company>
  <LinksUpToDate>false</LinksUpToDate>
  <CharactersWithSpaces>46607</CharactersWithSpaces>
  <SharedDoc>false</SharedDoc>
  <HLinks>
    <vt:vector size="18" baseType="variant">
      <vt:variant>
        <vt:i4>4456451</vt:i4>
      </vt:variant>
      <vt:variant>
        <vt:i4>3</vt:i4>
      </vt:variant>
      <vt:variant>
        <vt:i4>0</vt:i4>
      </vt:variant>
      <vt:variant>
        <vt:i4>5</vt:i4>
      </vt:variant>
      <vt:variant>
        <vt:lpwstr>http://demo.istat.it/</vt:lpwstr>
      </vt:variant>
      <vt:variant>
        <vt:lpwstr/>
      </vt:variant>
      <vt:variant>
        <vt:i4>5374032</vt:i4>
      </vt:variant>
      <vt:variant>
        <vt:i4>0</vt:i4>
      </vt:variant>
      <vt:variant>
        <vt:i4>0</vt:i4>
      </vt:variant>
      <vt:variant>
        <vt:i4>5</vt:i4>
      </vt:variant>
      <vt:variant>
        <vt:lpwstr>http://www.istat.it/it/archivio/99464</vt:lpwstr>
      </vt:variant>
      <vt:variant>
        <vt:lpwstr/>
      </vt:variant>
      <vt:variant>
        <vt:i4>2228278</vt:i4>
      </vt:variant>
      <vt:variant>
        <vt:i4>0</vt:i4>
      </vt:variant>
      <vt:variant>
        <vt:i4>0</vt:i4>
      </vt:variant>
      <vt:variant>
        <vt:i4>5</vt:i4>
      </vt:variant>
      <vt:variant>
        <vt:lpwstr>http://epp.eurostat.ec.europa.eu/portal/page/portal/population/data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Francesca Licari</dc:creator>
  <cp:lastModifiedBy>Di Chiara Barbara</cp:lastModifiedBy>
  <cp:revision>2</cp:revision>
  <cp:lastPrinted>2019-10-28T12:38:00Z</cp:lastPrinted>
  <dcterms:created xsi:type="dcterms:W3CDTF">2024-06-19T10:32:00Z</dcterms:created>
  <dcterms:modified xsi:type="dcterms:W3CDTF">2024-06-19T10:32:00Z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155775f-ddf1-4a0d-93eb-eb1e96abcbb1_Enabled">
    <vt:lpwstr>true</vt:lpwstr>
  </property>
  <property fmtid="{D5CDD505-2E9C-101B-9397-08002B2CF9AE}" pid="3" name="MSIP_Label_f155775f-ddf1-4a0d-93eb-eb1e96abcbb1_SetDate">
    <vt:lpwstr>2024-06-19T10:31:59Z</vt:lpwstr>
  </property>
  <property fmtid="{D5CDD505-2E9C-101B-9397-08002B2CF9AE}" pid="4" name="MSIP_Label_f155775f-ddf1-4a0d-93eb-eb1e96abcbb1_Method">
    <vt:lpwstr>Standard</vt:lpwstr>
  </property>
  <property fmtid="{D5CDD505-2E9C-101B-9397-08002B2CF9AE}" pid="5" name="MSIP_Label_f155775f-ddf1-4a0d-93eb-eb1e96abcbb1_Name">
    <vt:lpwstr>Public</vt:lpwstr>
  </property>
  <property fmtid="{D5CDD505-2E9C-101B-9397-08002B2CF9AE}" pid="6" name="MSIP_Label_f155775f-ddf1-4a0d-93eb-eb1e96abcbb1_SiteId">
    <vt:lpwstr>a7951234-1d7a-4bf7-9625-60faed175df2</vt:lpwstr>
  </property>
  <property fmtid="{D5CDD505-2E9C-101B-9397-08002B2CF9AE}" pid="7" name="MSIP_Label_f155775f-ddf1-4a0d-93eb-eb1e96abcbb1_ActionId">
    <vt:lpwstr>2b2a6c83-57eb-40bb-aebd-5270908519bf</vt:lpwstr>
  </property>
  <property fmtid="{D5CDD505-2E9C-101B-9397-08002B2CF9AE}" pid="8" name="MSIP_Label_f155775f-ddf1-4a0d-93eb-eb1e96abcbb1_ContentBits">
    <vt:lpwstr>0</vt:lpwstr>
  </property>
</Properties>
</file>