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5F03D" w14:textId="77777777" w:rsidR="00855DE4" w:rsidRPr="00A15A5C" w:rsidRDefault="00855DE4" w:rsidP="00314ED5">
      <w:pPr>
        <w:spacing w:after="0" w:line="276" w:lineRule="auto"/>
        <w:rPr>
          <w:rFonts w:ascii="Arial" w:eastAsia="Arial" w:hAnsi="Arial" w:cs="Arial"/>
          <w:b/>
          <w:sz w:val="24"/>
          <w:szCs w:val="24"/>
        </w:rPr>
      </w:pPr>
      <w:r w:rsidRPr="00A15A5C">
        <w:rPr>
          <w:rFonts w:ascii="Arial" w:eastAsia="Arial" w:hAnsi="Arial" w:cs="Arial"/>
          <w:b/>
          <w:sz w:val="24"/>
          <w:szCs w:val="24"/>
        </w:rPr>
        <w:t>Migrazione sanitaria pediatrica in Italia</w:t>
      </w:r>
    </w:p>
    <w:p w14:paraId="58FE2DB3" w14:textId="77777777" w:rsidR="00855DE4" w:rsidRPr="00A15A5C" w:rsidRDefault="00855DE4" w:rsidP="00314ED5">
      <w:pPr>
        <w:spacing w:after="0" w:line="276" w:lineRule="auto"/>
        <w:rPr>
          <w:rFonts w:ascii="Arial" w:eastAsia="Arial" w:hAnsi="Arial" w:cs="Arial"/>
          <w:b/>
          <w:sz w:val="20"/>
          <w:szCs w:val="20"/>
        </w:rPr>
      </w:pPr>
    </w:p>
    <w:p w14:paraId="2A2C0831" w14:textId="77777777" w:rsidR="00855DE4" w:rsidRPr="00A15A5C" w:rsidRDefault="00855DE4" w:rsidP="00314ED5">
      <w:pPr>
        <w:spacing w:after="0" w:line="276" w:lineRule="auto"/>
        <w:rPr>
          <w:rFonts w:ascii="Arial" w:eastAsia="Arial" w:hAnsi="Arial" w:cs="Arial"/>
          <w:b/>
          <w:sz w:val="20"/>
          <w:szCs w:val="20"/>
        </w:rPr>
      </w:pPr>
      <w:r w:rsidRPr="00A15A5C">
        <w:rPr>
          <w:rFonts w:ascii="Arial" w:eastAsia="Arial" w:hAnsi="Arial" w:cs="Arial"/>
          <w:b/>
          <w:sz w:val="20"/>
          <w:szCs w:val="20"/>
        </w:rPr>
        <w:t>Mario De Curtis</w:t>
      </w:r>
      <w:r w:rsidRPr="00A15A5C">
        <w:rPr>
          <w:rFonts w:ascii="Arial" w:eastAsia="Arial" w:hAnsi="Arial" w:cs="Arial"/>
          <w:b/>
          <w:sz w:val="20"/>
          <w:szCs w:val="20"/>
          <w:vertAlign w:val="superscript"/>
        </w:rPr>
        <w:t>1</w:t>
      </w:r>
      <w:r w:rsidRPr="00A15A5C">
        <w:rPr>
          <w:rFonts w:ascii="Arial" w:eastAsia="Arial" w:hAnsi="Arial" w:cs="Arial"/>
          <w:b/>
          <w:sz w:val="20"/>
          <w:szCs w:val="20"/>
        </w:rPr>
        <w:t>, Francesco Bortolan</w:t>
      </w:r>
      <w:r w:rsidRPr="00A15A5C">
        <w:rPr>
          <w:rFonts w:ascii="Arial" w:eastAsia="Arial" w:hAnsi="Arial" w:cs="Arial"/>
          <w:b/>
          <w:sz w:val="20"/>
          <w:szCs w:val="20"/>
          <w:vertAlign w:val="superscript"/>
        </w:rPr>
        <w:t>2</w:t>
      </w:r>
      <w:r w:rsidRPr="00A15A5C">
        <w:rPr>
          <w:rFonts w:ascii="Arial" w:eastAsia="Arial" w:hAnsi="Arial" w:cs="Arial"/>
          <w:b/>
          <w:sz w:val="20"/>
          <w:szCs w:val="20"/>
        </w:rPr>
        <w:t>, Davide Diliberto</w:t>
      </w:r>
      <w:r w:rsidRPr="00A15A5C">
        <w:rPr>
          <w:rFonts w:ascii="Arial" w:eastAsia="Arial" w:hAnsi="Arial" w:cs="Arial"/>
          <w:b/>
          <w:sz w:val="20"/>
          <w:szCs w:val="20"/>
          <w:vertAlign w:val="superscript"/>
        </w:rPr>
        <w:t>3</w:t>
      </w:r>
      <w:r w:rsidRPr="00A15A5C">
        <w:rPr>
          <w:rFonts w:ascii="Arial" w:eastAsia="Arial" w:hAnsi="Arial" w:cs="Arial"/>
          <w:b/>
          <w:sz w:val="20"/>
          <w:szCs w:val="20"/>
        </w:rPr>
        <w:t>, Leonardo Villani</w:t>
      </w:r>
      <w:r w:rsidRPr="00A15A5C">
        <w:rPr>
          <w:rFonts w:ascii="Arial" w:eastAsia="Arial" w:hAnsi="Arial" w:cs="Arial"/>
          <w:b/>
          <w:sz w:val="20"/>
          <w:szCs w:val="20"/>
          <w:vertAlign w:val="superscript"/>
        </w:rPr>
        <w:t>4</w:t>
      </w:r>
    </w:p>
    <w:p w14:paraId="7643034F" w14:textId="77777777" w:rsidR="00855DE4" w:rsidRPr="00A15A5C" w:rsidRDefault="00855DE4" w:rsidP="00314ED5">
      <w:pPr>
        <w:pStyle w:val="Paragrafoelenco"/>
        <w:spacing w:after="0" w:line="276" w:lineRule="auto"/>
        <w:rPr>
          <w:rFonts w:ascii="Arial" w:eastAsia="Arial" w:hAnsi="Arial" w:cs="Arial"/>
          <w:b/>
          <w:sz w:val="20"/>
          <w:szCs w:val="20"/>
        </w:rPr>
      </w:pPr>
    </w:p>
    <w:p w14:paraId="03E2E0CB" w14:textId="77777777" w:rsidR="00855DE4" w:rsidRPr="00A15A5C" w:rsidRDefault="00855DE4" w:rsidP="00314ED5">
      <w:pPr>
        <w:pStyle w:val="Paragrafoelenco"/>
        <w:numPr>
          <w:ilvl w:val="0"/>
          <w:numId w:val="1"/>
        </w:numPr>
        <w:spacing w:after="0" w:line="276" w:lineRule="auto"/>
        <w:rPr>
          <w:rFonts w:ascii="Arial" w:eastAsia="Arial" w:hAnsi="Arial" w:cs="Arial"/>
          <w:b/>
          <w:sz w:val="20"/>
          <w:szCs w:val="20"/>
        </w:rPr>
      </w:pPr>
      <w:r w:rsidRPr="00A15A5C">
        <w:rPr>
          <w:rFonts w:ascii="Arial" w:eastAsia="Arial" w:hAnsi="Arial" w:cs="Arial"/>
          <w:b/>
          <w:sz w:val="20"/>
          <w:szCs w:val="20"/>
        </w:rPr>
        <w:t>Dipartimento Materno Infantile, Università di Roma La Sapienza</w:t>
      </w:r>
    </w:p>
    <w:p w14:paraId="31D67F39" w14:textId="77777777" w:rsidR="00855DE4" w:rsidRPr="00A15A5C" w:rsidRDefault="00855DE4" w:rsidP="00314ED5">
      <w:pPr>
        <w:pStyle w:val="Paragrafoelenco"/>
        <w:numPr>
          <w:ilvl w:val="0"/>
          <w:numId w:val="1"/>
        </w:numPr>
        <w:spacing w:after="0" w:line="276" w:lineRule="auto"/>
        <w:rPr>
          <w:rFonts w:ascii="Arial" w:eastAsia="Arial" w:hAnsi="Arial" w:cs="Arial"/>
          <w:b/>
          <w:sz w:val="20"/>
          <w:szCs w:val="20"/>
        </w:rPr>
      </w:pPr>
      <w:r w:rsidRPr="00A15A5C">
        <w:rPr>
          <w:rFonts w:ascii="Arial" w:eastAsia="Arial" w:hAnsi="Arial" w:cs="Arial"/>
          <w:b/>
          <w:sz w:val="20"/>
          <w:szCs w:val="20"/>
        </w:rPr>
        <w:t>AGE.NA.S. (AGEnzia NAzionale per i Servizi sanitari regionali)</w:t>
      </w:r>
    </w:p>
    <w:p w14:paraId="272D8B03" w14:textId="77777777" w:rsidR="00BB71B1" w:rsidRPr="00A15A5C" w:rsidRDefault="00855DE4" w:rsidP="00314ED5">
      <w:pPr>
        <w:pStyle w:val="Paragrafoelenco"/>
        <w:numPr>
          <w:ilvl w:val="0"/>
          <w:numId w:val="1"/>
        </w:numPr>
        <w:spacing w:after="0" w:line="276" w:lineRule="auto"/>
        <w:rPr>
          <w:rFonts w:ascii="Arial" w:eastAsia="Arial" w:hAnsi="Arial" w:cs="Arial"/>
          <w:b/>
          <w:sz w:val="20"/>
          <w:szCs w:val="20"/>
        </w:rPr>
      </w:pPr>
      <w:r w:rsidRPr="00A15A5C">
        <w:rPr>
          <w:rFonts w:ascii="Arial" w:eastAsia="Arial" w:hAnsi="Arial" w:cs="Arial"/>
          <w:b/>
          <w:sz w:val="20"/>
          <w:szCs w:val="20"/>
        </w:rPr>
        <w:t>Azienda Zero, Regione del Veneto</w:t>
      </w:r>
    </w:p>
    <w:p w14:paraId="6ABD3FB6" w14:textId="193ACB42" w:rsidR="00855DE4" w:rsidRPr="00A15A5C" w:rsidRDefault="00BB71B1" w:rsidP="00314ED5">
      <w:pPr>
        <w:pStyle w:val="Paragrafoelenco"/>
        <w:numPr>
          <w:ilvl w:val="0"/>
          <w:numId w:val="1"/>
        </w:numPr>
        <w:spacing w:after="0" w:line="276" w:lineRule="auto"/>
        <w:rPr>
          <w:rFonts w:ascii="Arial" w:eastAsia="Arial" w:hAnsi="Arial" w:cs="Arial"/>
          <w:b/>
          <w:sz w:val="20"/>
          <w:szCs w:val="20"/>
        </w:rPr>
      </w:pPr>
      <w:r w:rsidRPr="00A15A5C">
        <w:rPr>
          <w:rFonts w:ascii="Arial" w:eastAsia="Arial" w:hAnsi="Arial" w:cs="Arial"/>
          <w:b/>
          <w:sz w:val="20"/>
          <w:szCs w:val="20"/>
        </w:rPr>
        <w:t>Sezione di Igiene, Dipartimento Universitario di Scienze della Vita e Sanità Pubblica -Università Cattolica del Sacro Cuore, Roma, Italia</w:t>
      </w:r>
    </w:p>
    <w:p w14:paraId="7F945C4B" w14:textId="057095D4" w:rsidR="00BB71B1" w:rsidRPr="00A15A5C" w:rsidRDefault="00BB71B1" w:rsidP="00BB71B1">
      <w:pPr>
        <w:spacing w:after="0" w:line="276" w:lineRule="auto"/>
        <w:rPr>
          <w:rFonts w:ascii="Arial" w:eastAsia="Arial" w:hAnsi="Arial" w:cs="Arial"/>
          <w:b/>
          <w:sz w:val="20"/>
          <w:szCs w:val="20"/>
        </w:rPr>
      </w:pPr>
    </w:p>
    <w:p w14:paraId="733F1B65" w14:textId="22C7F252" w:rsidR="0026348D" w:rsidRPr="00A15A5C" w:rsidRDefault="0026348D" w:rsidP="00BB71B1">
      <w:pPr>
        <w:spacing w:after="0" w:line="276" w:lineRule="auto"/>
        <w:rPr>
          <w:rFonts w:ascii="Arial" w:eastAsia="Arial" w:hAnsi="Arial" w:cs="Arial"/>
          <w:b/>
          <w:sz w:val="24"/>
          <w:szCs w:val="24"/>
        </w:rPr>
      </w:pPr>
      <w:r w:rsidRPr="00A15A5C">
        <w:rPr>
          <w:rFonts w:ascii="Arial" w:eastAsia="Arial" w:hAnsi="Arial" w:cs="Arial"/>
          <w:b/>
          <w:sz w:val="24"/>
          <w:szCs w:val="24"/>
        </w:rPr>
        <w:t>Abstract</w:t>
      </w:r>
    </w:p>
    <w:p w14:paraId="6BA801A3" w14:textId="2753BFDB" w:rsidR="0026348D" w:rsidRPr="00A15A5C" w:rsidRDefault="0026348D" w:rsidP="00BB71B1">
      <w:pPr>
        <w:spacing w:after="0" w:line="276" w:lineRule="auto"/>
        <w:rPr>
          <w:rFonts w:ascii="Arial" w:eastAsia="Arial" w:hAnsi="Arial" w:cs="Arial"/>
          <w:b/>
          <w:sz w:val="20"/>
          <w:szCs w:val="20"/>
        </w:rPr>
      </w:pPr>
    </w:p>
    <w:p w14:paraId="6D9D8188" w14:textId="3965C88B" w:rsidR="0026348D" w:rsidRPr="00A15A5C" w:rsidRDefault="0026348D" w:rsidP="0026348D">
      <w:pPr>
        <w:spacing w:after="0" w:line="276" w:lineRule="auto"/>
        <w:jc w:val="both"/>
        <w:rPr>
          <w:rFonts w:ascii="Arial" w:eastAsia="Arial" w:hAnsi="Arial" w:cs="Arial"/>
          <w:bCs/>
          <w:sz w:val="24"/>
          <w:szCs w:val="24"/>
        </w:rPr>
      </w:pPr>
      <w:r w:rsidRPr="00A15A5C">
        <w:rPr>
          <w:rFonts w:ascii="Arial" w:eastAsia="Arial" w:hAnsi="Arial" w:cs="Arial"/>
          <w:bCs/>
          <w:sz w:val="24"/>
          <w:szCs w:val="24"/>
        </w:rPr>
        <w:t>L'analisi della mobilità sanitaria interregionale è fondamentale al fine di valutare</w:t>
      </w:r>
      <w:r w:rsidR="002F59FC" w:rsidRPr="00A15A5C">
        <w:rPr>
          <w:rFonts w:ascii="Arial" w:eastAsia="Arial" w:hAnsi="Arial" w:cs="Arial"/>
          <w:bCs/>
          <w:sz w:val="24"/>
          <w:szCs w:val="24"/>
        </w:rPr>
        <w:t xml:space="preserve"> la qualità dell’assistenza erogata dai Sistemi Sanitari Regionali, il grado di soddisfazione dei cittadini-pazienti e il relativo impatto economico</w:t>
      </w:r>
      <w:r w:rsidRPr="00A15A5C">
        <w:rPr>
          <w:rFonts w:ascii="Arial" w:eastAsia="Arial" w:hAnsi="Arial" w:cs="Arial"/>
          <w:bCs/>
          <w:sz w:val="24"/>
          <w:szCs w:val="24"/>
        </w:rPr>
        <w:t xml:space="preserve">. Lo scopo </w:t>
      </w:r>
      <w:r w:rsidR="002F59FC" w:rsidRPr="00A15A5C">
        <w:rPr>
          <w:rFonts w:ascii="Arial" w:eastAsia="Arial" w:hAnsi="Arial" w:cs="Arial"/>
          <w:bCs/>
          <w:sz w:val="24"/>
          <w:szCs w:val="24"/>
        </w:rPr>
        <w:t>di questo</w:t>
      </w:r>
      <w:r w:rsidRPr="00A15A5C">
        <w:rPr>
          <w:rFonts w:ascii="Arial" w:eastAsia="Arial" w:hAnsi="Arial" w:cs="Arial"/>
          <w:bCs/>
          <w:sz w:val="24"/>
          <w:szCs w:val="24"/>
        </w:rPr>
        <w:t xml:space="preserve"> studio è analizzare la mobilità sanitaria</w:t>
      </w:r>
      <w:r w:rsidR="001647BB" w:rsidRPr="00A15A5C">
        <w:rPr>
          <w:rFonts w:ascii="Arial" w:eastAsia="Arial" w:hAnsi="Arial" w:cs="Arial"/>
          <w:bCs/>
          <w:sz w:val="24"/>
          <w:szCs w:val="24"/>
        </w:rPr>
        <w:t xml:space="preserve"> passiva, intesa come </w:t>
      </w:r>
      <w:r w:rsidR="001647BB" w:rsidRPr="00A15A5C">
        <w:rPr>
          <w:rFonts w:ascii="Arial" w:hAnsi="Arial" w:cs="Arial"/>
          <w:i/>
          <w:sz w:val="24"/>
          <w:szCs w:val="24"/>
        </w:rPr>
        <w:t>fuga</w:t>
      </w:r>
      <w:r w:rsidR="001647BB" w:rsidRPr="00A15A5C">
        <w:rPr>
          <w:rFonts w:ascii="Arial" w:hAnsi="Arial" w:cs="Arial"/>
          <w:sz w:val="24"/>
          <w:szCs w:val="24"/>
        </w:rPr>
        <w:t xml:space="preserve"> dei cittadini residenti e la loro scelta di curarsi in una regione diversa da quella di residenza,</w:t>
      </w:r>
      <w:r w:rsidRPr="00A15A5C">
        <w:rPr>
          <w:rFonts w:ascii="Arial" w:eastAsia="Arial" w:hAnsi="Arial" w:cs="Arial"/>
          <w:bCs/>
          <w:sz w:val="24"/>
          <w:szCs w:val="24"/>
        </w:rPr>
        <w:t xml:space="preserve"> e i </w:t>
      </w:r>
      <w:r w:rsidR="005D6319" w:rsidRPr="00A15A5C">
        <w:rPr>
          <w:rFonts w:ascii="Arial" w:eastAsia="Arial" w:hAnsi="Arial" w:cs="Arial"/>
          <w:bCs/>
          <w:sz w:val="24"/>
          <w:szCs w:val="24"/>
        </w:rPr>
        <w:t>relativ</w:t>
      </w:r>
      <w:r w:rsidR="00473222" w:rsidRPr="00A15A5C">
        <w:rPr>
          <w:rFonts w:ascii="Arial" w:eastAsia="Arial" w:hAnsi="Arial" w:cs="Arial"/>
          <w:bCs/>
          <w:sz w:val="24"/>
          <w:szCs w:val="24"/>
        </w:rPr>
        <w:t>i</w:t>
      </w:r>
      <w:r w:rsidR="005D6319" w:rsidRPr="00A15A5C">
        <w:rPr>
          <w:rFonts w:ascii="Arial" w:eastAsia="Arial" w:hAnsi="Arial" w:cs="Arial"/>
          <w:bCs/>
          <w:sz w:val="24"/>
          <w:szCs w:val="24"/>
        </w:rPr>
        <w:t xml:space="preserve"> </w:t>
      </w:r>
      <w:r w:rsidRPr="00A15A5C">
        <w:rPr>
          <w:rFonts w:ascii="Arial" w:eastAsia="Arial" w:hAnsi="Arial" w:cs="Arial"/>
          <w:bCs/>
          <w:sz w:val="24"/>
          <w:szCs w:val="24"/>
        </w:rPr>
        <w:t>cost</w:t>
      </w:r>
      <w:r w:rsidR="00473222" w:rsidRPr="00A15A5C">
        <w:rPr>
          <w:rFonts w:ascii="Arial" w:eastAsia="Arial" w:hAnsi="Arial" w:cs="Arial"/>
          <w:bCs/>
          <w:sz w:val="24"/>
          <w:szCs w:val="24"/>
        </w:rPr>
        <w:t>i</w:t>
      </w:r>
      <w:r w:rsidRPr="00A15A5C">
        <w:rPr>
          <w:rFonts w:ascii="Arial" w:eastAsia="Arial" w:hAnsi="Arial" w:cs="Arial"/>
          <w:bCs/>
          <w:sz w:val="24"/>
          <w:szCs w:val="24"/>
        </w:rPr>
        <w:t xml:space="preserve"> per tutti i bambini </w:t>
      </w:r>
      <w:r w:rsidR="00817C46" w:rsidRPr="00A15A5C">
        <w:rPr>
          <w:rFonts w:ascii="Arial" w:eastAsia="Arial" w:hAnsi="Arial" w:cs="Arial"/>
          <w:bCs/>
          <w:sz w:val="24"/>
          <w:szCs w:val="24"/>
        </w:rPr>
        <w:t>residenti</w:t>
      </w:r>
      <w:r w:rsidR="00473222" w:rsidRPr="00A15A5C">
        <w:rPr>
          <w:rFonts w:ascii="Arial" w:eastAsia="Arial" w:hAnsi="Arial" w:cs="Arial"/>
          <w:bCs/>
          <w:sz w:val="24"/>
          <w:szCs w:val="24"/>
        </w:rPr>
        <w:t xml:space="preserve"> nel 2019</w:t>
      </w:r>
      <w:r w:rsidR="00817C46" w:rsidRPr="00A15A5C">
        <w:rPr>
          <w:rFonts w:ascii="Arial" w:eastAsia="Arial" w:hAnsi="Arial" w:cs="Arial"/>
          <w:bCs/>
          <w:sz w:val="24"/>
          <w:szCs w:val="24"/>
        </w:rPr>
        <w:t xml:space="preserve"> in Italia con un’età ≤ 14 anni</w:t>
      </w:r>
      <w:r w:rsidRPr="00A15A5C">
        <w:rPr>
          <w:rFonts w:ascii="Arial" w:eastAsia="Arial" w:hAnsi="Arial" w:cs="Arial"/>
          <w:bCs/>
          <w:sz w:val="24"/>
          <w:szCs w:val="24"/>
        </w:rPr>
        <w:t xml:space="preserve">. </w:t>
      </w:r>
    </w:p>
    <w:p w14:paraId="54ADCCF8" w14:textId="77777777" w:rsidR="002F59FC" w:rsidRPr="00A15A5C" w:rsidRDefault="002F59FC" w:rsidP="0026348D">
      <w:pPr>
        <w:spacing w:after="0" w:line="276" w:lineRule="auto"/>
        <w:jc w:val="both"/>
        <w:rPr>
          <w:rFonts w:ascii="Arial" w:eastAsia="Arial" w:hAnsi="Arial" w:cs="Arial"/>
          <w:bCs/>
          <w:sz w:val="24"/>
          <w:szCs w:val="24"/>
        </w:rPr>
      </w:pPr>
    </w:p>
    <w:p w14:paraId="4E7F20F0" w14:textId="22CD1D4F" w:rsidR="0026348D" w:rsidRPr="00A15A5C" w:rsidRDefault="002F59FC" w:rsidP="002C3E2A">
      <w:pPr>
        <w:spacing w:after="0" w:line="276" w:lineRule="auto"/>
        <w:jc w:val="both"/>
        <w:rPr>
          <w:rFonts w:ascii="Arial" w:eastAsia="Arial" w:hAnsi="Arial" w:cs="Arial"/>
          <w:bCs/>
          <w:sz w:val="24"/>
          <w:szCs w:val="24"/>
        </w:rPr>
      </w:pPr>
      <w:r w:rsidRPr="00A15A5C">
        <w:rPr>
          <w:rFonts w:ascii="Arial" w:eastAsia="Arial" w:hAnsi="Arial" w:cs="Arial"/>
          <w:bCs/>
          <w:sz w:val="24"/>
          <w:szCs w:val="24"/>
        </w:rPr>
        <w:t>I</w:t>
      </w:r>
      <w:r w:rsidR="0026348D" w:rsidRPr="00A15A5C">
        <w:rPr>
          <w:rFonts w:ascii="Arial" w:eastAsia="Arial" w:hAnsi="Arial" w:cs="Arial"/>
          <w:bCs/>
          <w:sz w:val="24"/>
          <w:szCs w:val="24"/>
        </w:rPr>
        <w:t xml:space="preserve"> dati </w:t>
      </w:r>
      <w:r w:rsidRPr="00A15A5C">
        <w:rPr>
          <w:rFonts w:ascii="Arial" w:eastAsia="Arial" w:hAnsi="Arial" w:cs="Arial"/>
          <w:bCs/>
          <w:sz w:val="24"/>
          <w:szCs w:val="24"/>
        </w:rPr>
        <w:t>sono stati ottenuti dal</w:t>
      </w:r>
      <w:r w:rsidR="0026348D" w:rsidRPr="00A15A5C">
        <w:rPr>
          <w:rFonts w:ascii="Arial" w:eastAsia="Arial" w:hAnsi="Arial" w:cs="Arial"/>
          <w:bCs/>
          <w:sz w:val="24"/>
          <w:szCs w:val="24"/>
        </w:rPr>
        <w:t xml:space="preserve"> "Rapporto annuale sull'attività di ricovero ospedaliero - Dati SDO 2019" pubblicato dal Ministero della Salute</w:t>
      </w:r>
      <w:r w:rsidRPr="00A15A5C">
        <w:rPr>
          <w:rFonts w:ascii="Arial" w:eastAsia="Arial" w:hAnsi="Arial" w:cs="Arial"/>
          <w:bCs/>
          <w:sz w:val="24"/>
          <w:szCs w:val="24"/>
        </w:rPr>
        <w:t xml:space="preserve">, che rappresenta </w:t>
      </w:r>
      <w:r w:rsidR="0026348D" w:rsidRPr="00A15A5C">
        <w:rPr>
          <w:rFonts w:ascii="Arial" w:eastAsia="Arial" w:hAnsi="Arial" w:cs="Arial"/>
          <w:bCs/>
          <w:sz w:val="24"/>
          <w:szCs w:val="24"/>
        </w:rPr>
        <w:t xml:space="preserve">lo strumento di raccolta delle informazioni relative a tutte le prestazioni di ricovero erogate negli ospedali pubblici e privati accreditati presenti sul territorio nazionale. </w:t>
      </w:r>
      <w:r w:rsidRPr="00A15A5C">
        <w:rPr>
          <w:rFonts w:ascii="Arial" w:eastAsia="Arial" w:hAnsi="Arial" w:cs="Arial"/>
          <w:bCs/>
          <w:sz w:val="24"/>
          <w:szCs w:val="24"/>
        </w:rPr>
        <w:t xml:space="preserve">Sono state considerate </w:t>
      </w:r>
      <w:r w:rsidR="0026348D" w:rsidRPr="00A15A5C">
        <w:rPr>
          <w:rFonts w:ascii="Arial" w:eastAsia="Arial" w:hAnsi="Arial" w:cs="Arial"/>
          <w:bCs/>
          <w:sz w:val="24"/>
          <w:szCs w:val="24"/>
        </w:rPr>
        <w:t>tutte le regioni italiane</w:t>
      </w:r>
      <w:r w:rsidRPr="00A15A5C">
        <w:rPr>
          <w:rFonts w:ascii="Arial" w:eastAsia="Arial" w:hAnsi="Arial" w:cs="Arial"/>
          <w:bCs/>
          <w:sz w:val="24"/>
          <w:szCs w:val="24"/>
        </w:rPr>
        <w:t>,</w:t>
      </w:r>
      <w:r w:rsidR="0026348D" w:rsidRPr="00A15A5C">
        <w:rPr>
          <w:rFonts w:ascii="Arial" w:eastAsia="Arial" w:hAnsi="Arial" w:cs="Arial"/>
          <w:bCs/>
          <w:sz w:val="24"/>
          <w:szCs w:val="24"/>
        </w:rPr>
        <w:t xml:space="preserve"> raggruppat</w:t>
      </w:r>
      <w:r w:rsidRPr="00A15A5C">
        <w:rPr>
          <w:rFonts w:ascii="Arial" w:eastAsia="Arial" w:hAnsi="Arial" w:cs="Arial"/>
          <w:bCs/>
          <w:sz w:val="24"/>
          <w:szCs w:val="24"/>
        </w:rPr>
        <w:t>e</w:t>
      </w:r>
      <w:r w:rsidR="0026348D" w:rsidRPr="00A15A5C">
        <w:rPr>
          <w:rFonts w:ascii="Arial" w:eastAsia="Arial" w:hAnsi="Arial" w:cs="Arial"/>
          <w:bCs/>
          <w:sz w:val="24"/>
          <w:szCs w:val="24"/>
        </w:rPr>
        <w:t xml:space="preserve"> in due aree geografiche: Regioni del Centro-Nord e Regioni del </w:t>
      </w:r>
      <w:r w:rsidRPr="00A15A5C">
        <w:rPr>
          <w:rFonts w:ascii="Arial" w:eastAsia="Arial" w:hAnsi="Arial" w:cs="Arial"/>
          <w:bCs/>
          <w:sz w:val="24"/>
          <w:szCs w:val="24"/>
        </w:rPr>
        <w:t>Mezzogiorno</w:t>
      </w:r>
      <w:r w:rsidR="0026348D" w:rsidRPr="00A15A5C">
        <w:rPr>
          <w:rFonts w:ascii="Arial" w:eastAsia="Arial" w:hAnsi="Arial" w:cs="Arial"/>
          <w:bCs/>
          <w:sz w:val="24"/>
          <w:szCs w:val="24"/>
        </w:rPr>
        <w:t xml:space="preserve"> (</w:t>
      </w:r>
      <w:r w:rsidR="002C3E2A" w:rsidRPr="00A15A5C">
        <w:rPr>
          <w:rFonts w:ascii="Arial" w:hAnsi="Arial" w:cs="Arial"/>
          <w:sz w:val="24"/>
          <w:szCs w:val="24"/>
        </w:rPr>
        <w:t xml:space="preserve">Abruzzo, Molise, Campania, Puglia, Basilicata, Calabria, Sicilia e Sardegna). E’ stata analizzata per tutti i </w:t>
      </w:r>
      <w:r w:rsidR="002C3E2A" w:rsidRPr="00A15A5C">
        <w:rPr>
          <w:rFonts w:ascii="Arial" w:hAnsi="Arial" w:cs="Arial"/>
          <w:bCs/>
          <w:color w:val="000000"/>
          <w:sz w:val="24"/>
          <w:szCs w:val="24"/>
        </w:rPr>
        <w:t>7.871.887</w:t>
      </w:r>
      <w:r w:rsidR="002C3E2A" w:rsidRPr="00A15A5C">
        <w:rPr>
          <w:rFonts w:ascii="Arial" w:hAnsi="Arial" w:cs="Arial"/>
          <w:sz w:val="24"/>
          <w:szCs w:val="24"/>
        </w:rPr>
        <w:t xml:space="preserve"> bambini e ragazzi ≤ 14 anni di età residenti in Itali</w:t>
      </w:r>
      <w:r w:rsidR="002C3E2A" w:rsidRPr="00A15A5C">
        <w:rPr>
          <w:rFonts w:ascii="Arial" w:eastAsia="Arial" w:hAnsi="Arial" w:cs="Arial"/>
          <w:bCs/>
          <w:sz w:val="24"/>
          <w:szCs w:val="24"/>
        </w:rPr>
        <w:t xml:space="preserve">a nel 2019 l'entità </w:t>
      </w:r>
      <w:r w:rsidR="00473222" w:rsidRPr="00A15A5C">
        <w:rPr>
          <w:rFonts w:ascii="Arial" w:hAnsi="Arial" w:cs="Arial"/>
          <w:sz w:val="24"/>
          <w:szCs w:val="24"/>
        </w:rPr>
        <w:t>dei flussi di mobilità (ospedalizzazioni totali e ricoveri ad alta intensità) tra le regioni e in particolare dal Mezzogiorno al Centro-Nord ed i costi relativi di questa mobilità interregionale</w:t>
      </w:r>
    </w:p>
    <w:p w14:paraId="6C8ADB34" w14:textId="77777777" w:rsidR="002F59FC" w:rsidRPr="00A15A5C" w:rsidRDefault="002F59FC" w:rsidP="0026348D">
      <w:pPr>
        <w:spacing w:after="0" w:line="276" w:lineRule="auto"/>
        <w:jc w:val="both"/>
        <w:rPr>
          <w:rFonts w:ascii="Arial" w:eastAsia="Arial" w:hAnsi="Arial" w:cs="Arial"/>
          <w:bCs/>
          <w:sz w:val="24"/>
          <w:szCs w:val="24"/>
        </w:rPr>
      </w:pPr>
    </w:p>
    <w:p w14:paraId="0475045B" w14:textId="2C523926" w:rsidR="002C3E2A" w:rsidRPr="00A15A5C" w:rsidRDefault="002F59FC" w:rsidP="0026348D">
      <w:pPr>
        <w:spacing w:after="0" w:line="276" w:lineRule="auto"/>
        <w:jc w:val="both"/>
        <w:rPr>
          <w:rFonts w:ascii="Arial" w:eastAsia="Arial" w:hAnsi="Arial" w:cs="Arial"/>
          <w:bCs/>
          <w:sz w:val="24"/>
          <w:szCs w:val="24"/>
        </w:rPr>
      </w:pPr>
      <w:r w:rsidRPr="00A15A5C">
        <w:rPr>
          <w:rFonts w:ascii="Arial" w:eastAsia="Arial" w:hAnsi="Arial" w:cs="Arial"/>
          <w:bCs/>
          <w:sz w:val="24"/>
          <w:szCs w:val="24"/>
        </w:rPr>
        <w:t>Nell’anno 2019 i</w:t>
      </w:r>
      <w:r w:rsidR="0026348D" w:rsidRPr="00A15A5C">
        <w:rPr>
          <w:rFonts w:ascii="Arial" w:eastAsia="Arial" w:hAnsi="Arial" w:cs="Arial"/>
          <w:bCs/>
          <w:sz w:val="24"/>
          <w:szCs w:val="24"/>
        </w:rPr>
        <w:t xml:space="preserve">l numero di ricoveri dei bambini residenti nelle regioni del </w:t>
      </w:r>
      <w:r w:rsidRPr="00A15A5C">
        <w:rPr>
          <w:rFonts w:ascii="Arial" w:eastAsia="Arial" w:hAnsi="Arial" w:cs="Arial"/>
          <w:bCs/>
          <w:sz w:val="24"/>
          <w:szCs w:val="24"/>
        </w:rPr>
        <w:t>Mezzogiorno</w:t>
      </w:r>
      <w:r w:rsidR="0026348D" w:rsidRPr="00A15A5C">
        <w:rPr>
          <w:rFonts w:ascii="Arial" w:eastAsia="Arial" w:hAnsi="Arial" w:cs="Arial"/>
          <w:bCs/>
          <w:sz w:val="24"/>
          <w:szCs w:val="24"/>
        </w:rPr>
        <w:t xml:space="preserve"> </w:t>
      </w:r>
      <w:r w:rsidR="00AA5363" w:rsidRPr="00A15A5C">
        <w:rPr>
          <w:rFonts w:ascii="Arial" w:eastAsia="Arial" w:hAnsi="Arial" w:cs="Arial"/>
          <w:bCs/>
          <w:sz w:val="24"/>
          <w:szCs w:val="24"/>
        </w:rPr>
        <w:t>è risultato superiore</w:t>
      </w:r>
      <w:r w:rsidR="0026348D" w:rsidRPr="00A15A5C">
        <w:rPr>
          <w:rFonts w:ascii="Arial" w:eastAsia="Arial" w:hAnsi="Arial" w:cs="Arial"/>
          <w:bCs/>
          <w:sz w:val="24"/>
          <w:szCs w:val="24"/>
        </w:rPr>
        <w:t xml:space="preserve"> a quello dei bambini residenti nelle regioni del Centro-Nord (13,9% vs 12,3%). I bambini residenti nel </w:t>
      </w:r>
      <w:r w:rsidRPr="00A15A5C">
        <w:rPr>
          <w:rFonts w:ascii="Arial" w:eastAsia="Arial" w:hAnsi="Arial" w:cs="Arial"/>
          <w:bCs/>
          <w:sz w:val="24"/>
          <w:szCs w:val="24"/>
        </w:rPr>
        <w:t>Mezzogiorno</w:t>
      </w:r>
      <w:r w:rsidR="0026348D" w:rsidRPr="00A15A5C">
        <w:rPr>
          <w:rFonts w:ascii="Arial" w:eastAsia="Arial" w:hAnsi="Arial" w:cs="Arial"/>
          <w:bCs/>
          <w:sz w:val="24"/>
          <w:szCs w:val="24"/>
        </w:rPr>
        <w:t xml:space="preserve"> </w:t>
      </w:r>
      <w:r w:rsidR="002C3E2A" w:rsidRPr="00A15A5C">
        <w:rPr>
          <w:rFonts w:ascii="Arial" w:eastAsia="Arial" w:hAnsi="Arial" w:cs="Arial"/>
          <w:bCs/>
          <w:sz w:val="24"/>
          <w:szCs w:val="24"/>
        </w:rPr>
        <w:t xml:space="preserve">rispetto a quelli residenti nel Centro-Nord </w:t>
      </w:r>
      <w:r w:rsidR="0026348D" w:rsidRPr="00A15A5C">
        <w:rPr>
          <w:rFonts w:ascii="Arial" w:eastAsia="Arial" w:hAnsi="Arial" w:cs="Arial"/>
          <w:bCs/>
          <w:sz w:val="24"/>
          <w:szCs w:val="24"/>
        </w:rPr>
        <w:t>sono stati</w:t>
      </w:r>
      <w:r w:rsidR="002C3E2A" w:rsidRPr="00A15A5C">
        <w:rPr>
          <w:rFonts w:ascii="Arial" w:eastAsia="Arial" w:hAnsi="Arial" w:cs="Arial"/>
          <w:bCs/>
          <w:sz w:val="24"/>
          <w:szCs w:val="24"/>
        </w:rPr>
        <w:t xml:space="preserve"> curati </w:t>
      </w:r>
      <w:r w:rsidR="0026348D" w:rsidRPr="00A15A5C">
        <w:rPr>
          <w:rFonts w:ascii="Arial" w:eastAsia="Arial" w:hAnsi="Arial" w:cs="Arial"/>
          <w:bCs/>
          <w:sz w:val="24"/>
          <w:szCs w:val="24"/>
        </w:rPr>
        <w:t xml:space="preserve">più frequentemente in altre regioni (11,9% </w:t>
      </w:r>
      <w:r w:rsidR="0078587B" w:rsidRPr="00A15A5C">
        <w:rPr>
          <w:rFonts w:ascii="Arial" w:eastAsia="Arial" w:hAnsi="Arial" w:cs="Arial"/>
          <w:bCs/>
          <w:sz w:val="24"/>
          <w:szCs w:val="24"/>
        </w:rPr>
        <w:t>vs</w:t>
      </w:r>
      <w:r w:rsidR="0026348D" w:rsidRPr="00A15A5C">
        <w:rPr>
          <w:rFonts w:ascii="Arial" w:eastAsia="Arial" w:hAnsi="Arial" w:cs="Arial"/>
          <w:bCs/>
          <w:sz w:val="24"/>
          <w:szCs w:val="24"/>
        </w:rPr>
        <w:t xml:space="preserve"> 6,9%)</w:t>
      </w:r>
      <w:r w:rsidR="002C3E2A" w:rsidRPr="00A15A5C">
        <w:rPr>
          <w:rFonts w:ascii="Arial" w:eastAsia="Arial" w:hAnsi="Arial" w:cs="Arial"/>
          <w:bCs/>
          <w:sz w:val="24"/>
          <w:szCs w:val="24"/>
        </w:rPr>
        <w:t xml:space="preserve"> soprattutto quando si considerano </w:t>
      </w:r>
      <w:r w:rsidR="0026348D" w:rsidRPr="00A15A5C">
        <w:rPr>
          <w:rFonts w:ascii="Arial" w:eastAsia="Arial" w:hAnsi="Arial" w:cs="Arial"/>
          <w:bCs/>
          <w:sz w:val="24"/>
          <w:szCs w:val="24"/>
        </w:rPr>
        <w:t>i ricoveri ad alta complessità, (21,3% vs 10,5% del Centro-Nord).</w:t>
      </w:r>
      <w:r w:rsidR="00817C46" w:rsidRPr="00A15A5C">
        <w:rPr>
          <w:rFonts w:ascii="Arial" w:eastAsia="Arial" w:hAnsi="Arial" w:cs="Arial"/>
          <w:bCs/>
          <w:sz w:val="24"/>
          <w:szCs w:val="24"/>
        </w:rPr>
        <w:t xml:space="preserve"> In questi casi la migrazione </w:t>
      </w:r>
      <w:r w:rsidR="00EF502C">
        <w:rPr>
          <w:rFonts w:ascii="Arial" w:eastAsia="Arial" w:hAnsi="Arial" w:cs="Arial"/>
          <w:bCs/>
          <w:sz w:val="24"/>
          <w:szCs w:val="24"/>
        </w:rPr>
        <w:t xml:space="preserve">extraregionale </w:t>
      </w:r>
      <w:r w:rsidR="00817C46" w:rsidRPr="00A15A5C">
        <w:rPr>
          <w:rFonts w:ascii="Arial" w:eastAsia="Arial" w:hAnsi="Arial" w:cs="Arial"/>
          <w:bCs/>
          <w:sz w:val="24"/>
          <w:szCs w:val="24"/>
        </w:rPr>
        <w:t>dal Mezzogiorno alle regioni del Centro Nord ha rappresentato l’</w:t>
      </w:r>
      <w:r w:rsidR="00817C46" w:rsidRPr="00A15A5C">
        <w:rPr>
          <w:rFonts w:ascii="Arial" w:hAnsi="Arial" w:cs="Arial"/>
          <w:sz w:val="24"/>
          <w:szCs w:val="24"/>
        </w:rPr>
        <w:t>87,2% dei ricoveri</w:t>
      </w:r>
      <w:r w:rsidR="005C61F0" w:rsidRPr="00A15A5C">
        <w:rPr>
          <w:rFonts w:ascii="Arial" w:hAnsi="Arial" w:cs="Arial"/>
          <w:sz w:val="24"/>
          <w:szCs w:val="24"/>
        </w:rPr>
        <w:t xml:space="preserve"> totali</w:t>
      </w:r>
      <w:r w:rsidR="00817C46" w:rsidRPr="00A15A5C">
        <w:rPr>
          <w:rFonts w:ascii="Arial" w:hAnsi="Arial" w:cs="Arial"/>
          <w:sz w:val="24"/>
          <w:szCs w:val="24"/>
        </w:rPr>
        <w:t xml:space="preserve"> e il 95,2% di quelli ad alta complessità. </w:t>
      </w:r>
    </w:p>
    <w:p w14:paraId="00F6806D" w14:textId="326C3365" w:rsidR="00817C46" w:rsidRPr="00A15A5C" w:rsidRDefault="0026348D" w:rsidP="0026348D">
      <w:pPr>
        <w:spacing w:after="0" w:line="276" w:lineRule="auto"/>
        <w:jc w:val="both"/>
        <w:rPr>
          <w:rFonts w:ascii="Arial" w:eastAsia="Arial" w:hAnsi="Arial" w:cs="Arial"/>
          <w:bCs/>
          <w:sz w:val="24"/>
          <w:szCs w:val="24"/>
        </w:rPr>
      </w:pPr>
      <w:r w:rsidRPr="00A15A5C">
        <w:rPr>
          <w:rFonts w:ascii="Arial" w:eastAsia="Arial" w:hAnsi="Arial" w:cs="Arial"/>
          <w:bCs/>
          <w:sz w:val="24"/>
          <w:szCs w:val="24"/>
        </w:rPr>
        <w:t xml:space="preserve">Il costo della mobilità passiva </w:t>
      </w:r>
      <w:r w:rsidR="00473222" w:rsidRPr="00A15A5C">
        <w:rPr>
          <w:rFonts w:ascii="Arial" w:eastAsia="Arial" w:hAnsi="Arial" w:cs="Arial"/>
          <w:bCs/>
          <w:sz w:val="24"/>
          <w:szCs w:val="24"/>
        </w:rPr>
        <w:t xml:space="preserve">è stato di </w:t>
      </w:r>
      <w:r w:rsidRPr="00A15A5C">
        <w:rPr>
          <w:rFonts w:ascii="Arial" w:eastAsia="Arial" w:hAnsi="Arial" w:cs="Arial"/>
          <w:bCs/>
          <w:sz w:val="24"/>
          <w:szCs w:val="24"/>
        </w:rPr>
        <w:t xml:space="preserve">103,9 milioni di euro per le regioni del </w:t>
      </w:r>
      <w:r w:rsidR="005D6319" w:rsidRPr="00A15A5C">
        <w:rPr>
          <w:rFonts w:ascii="Arial" w:eastAsia="Arial" w:hAnsi="Arial" w:cs="Arial"/>
          <w:bCs/>
          <w:sz w:val="24"/>
          <w:szCs w:val="24"/>
        </w:rPr>
        <w:t xml:space="preserve">Mezzogiorno </w:t>
      </w:r>
      <w:r w:rsidRPr="00A15A5C">
        <w:rPr>
          <w:rFonts w:ascii="Arial" w:eastAsia="Arial" w:hAnsi="Arial" w:cs="Arial"/>
          <w:bCs/>
          <w:sz w:val="24"/>
          <w:szCs w:val="24"/>
        </w:rPr>
        <w:t>(15,1% della spesa totale dei ricoveri) e l'87,1% di questo costo</w:t>
      </w:r>
      <w:r w:rsidR="00817C46" w:rsidRPr="00A15A5C">
        <w:rPr>
          <w:rFonts w:ascii="Arial" w:eastAsia="Arial" w:hAnsi="Arial" w:cs="Arial"/>
          <w:bCs/>
          <w:sz w:val="24"/>
          <w:szCs w:val="24"/>
        </w:rPr>
        <w:t xml:space="preserve"> </w:t>
      </w:r>
      <w:r w:rsidR="00817C46" w:rsidRPr="00A15A5C">
        <w:rPr>
          <w:rFonts w:ascii="Arial" w:hAnsi="Arial" w:cs="Arial"/>
          <w:sz w:val="24"/>
          <w:szCs w:val="24"/>
        </w:rPr>
        <w:t>(90,5 milioni di euro)</w:t>
      </w:r>
      <w:r w:rsidRPr="00A15A5C">
        <w:rPr>
          <w:rFonts w:ascii="Arial" w:eastAsia="Arial" w:hAnsi="Arial" w:cs="Arial"/>
          <w:bCs/>
          <w:sz w:val="24"/>
          <w:szCs w:val="24"/>
        </w:rPr>
        <w:t xml:space="preserve"> </w:t>
      </w:r>
      <w:r w:rsidR="00473222" w:rsidRPr="00A15A5C">
        <w:rPr>
          <w:rFonts w:ascii="Arial" w:eastAsia="Arial" w:hAnsi="Arial" w:cs="Arial"/>
          <w:bCs/>
          <w:sz w:val="24"/>
          <w:szCs w:val="24"/>
        </w:rPr>
        <w:t xml:space="preserve">ha riguardato </w:t>
      </w:r>
      <w:r w:rsidRPr="00A15A5C">
        <w:rPr>
          <w:rFonts w:ascii="Arial" w:eastAsia="Arial" w:hAnsi="Arial" w:cs="Arial"/>
          <w:bCs/>
          <w:sz w:val="24"/>
          <w:szCs w:val="24"/>
        </w:rPr>
        <w:t xml:space="preserve">la mobilità verso gli ospedali del Centro-Nord. </w:t>
      </w:r>
    </w:p>
    <w:p w14:paraId="7E1F6BA1" w14:textId="760D4559" w:rsidR="0026348D" w:rsidRPr="00A15A5C" w:rsidRDefault="00473222" w:rsidP="0026348D">
      <w:pPr>
        <w:spacing w:after="0" w:line="276" w:lineRule="auto"/>
        <w:jc w:val="both"/>
        <w:rPr>
          <w:rFonts w:ascii="Arial" w:eastAsia="Arial" w:hAnsi="Arial" w:cs="Arial"/>
          <w:bCs/>
          <w:sz w:val="24"/>
          <w:szCs w:val="24"/>
        </w:rPr>
      </w:pPr>
      <w:r w:rsidRPr="00A15A5C">
        <w:rPr>
          <w:rFonts w:ascii="Arial" w:eastAsia="Arial" w:hAnsi="Arial" w:cs="Arial"/>
          <w:bCs/>
          <w:sz w:val="24"/>
          <w:szCs w:val="24"/>
        </w:rPr>
        <w:t xml:space="preserve">L’entità e i costi </w:t>
      </w:r>
      <w:r w:rsidR="0026348D" w:rsidRPr="00A15A5C">
        <w:rPr>
          <w:rFonts w:ascii="Arial" w:eastAsia="Arial" w:hAnsi="Arial" w:cs="Arial"/>
          <w:bCs/>
          <w:sz w:val="24"/>
          <w:szCs w:val="24"/>
        </w:rPr>
        <w:t xml:space="preserve">della migrazione sanitaria dalle regioni del </w:t>
      </w:r>
      <w:r w:rsidR="005D6319" w:rsidRPr="00A15A5C">
        <w:rPr>
          <w:rFonts w:ascii="Arial" w:eastAsia="Arial" w:hAnsi="Arial" w:cs="Arial"/>
          <w:bCs/>
          <w:sz w:val="24"/>
          <w:szCs w:val="24"/>
        </w:rPr>
        <w:t xml:space="preserve">Mezzogiorno </w:t>
      </w:r>
      <w:r w:rsidR="0026348D" w:rsidRPr="00A15A5C">
        <w:rPr>
          <w:rFonts w:ascii="Arial" w:eastAsia="Arial" w:hAnsi="Arial" w:cs="Arial"/>
          <w:bCs/>
          <w:sz w:val="24"/>
          <w:szCs w:val="24"/>
        </w:rPr>
        <w:t xml:space="preserve">verso altre regioni del </w:t>
      </w:r>
      <w:r w:rsidR="005D6319" w:rsidRPr="00A15A5C">
        <w:rPr>
          <w:rFonts w:ascii="Arial" w:eastAsia="Arial" w:hAnsi="Arial" w:cs="Arial"/>
          <w:bCs/>
          <w:sz w:val="24"/>
          <w:szCs w:val="24"/>
        </w:rPr>
        <w:t xml:space="preserve">Mezzogiorno </w:t>
      </w:r>
      <w:r w:rsidRPr="00A15A5C">
        <w:rPr>
          <w:rFonts w:ascii="Arial" w:eastAsia="Arial" w:hAnsi="Arial" w:cs="Arial"/>
          <w:bCs/>
          <w:sz w:val="24"/>
          <w:szCs w:val="24"/>
        </w:rPr>
        <w:t xml:space="preserve">sono risultati minori </w:t>
      </w:r>
      <w:r w:rsidR="0026348D" w:rsidRPr="00A15A5C">
        <w:rPr>
          <w:rFonts w:ascii="Arial" w:eastAsia="Arial" w:hAnsi="Arial" w:cs="Arial"/>
          <w:bCs/>
          <w:sz w:val="24"/>
          <w:szCs w:val="24"/>
        </w:rPr>
        <w:t>(1</w:t>
      </w:r>
      <w:r w:rsidR="003A7B1A" w:rsidRPr="00A15A5C">
        <w:rPr>
          <w:rFonts w:ascii="Arial" w:eastAsia="Arial" w:hAnsi="Arial" w:cs="Arial"/>
          <w:bCs/>
          <w:sz w:val="24"/>
          <w:szCs w:val="24"/>
        </w:rPr>
        <w:t>2,9</w:t>
      </w:r>
      <w:r w:rsidRPr="00A15A5C">
        <w:rPr>
          <w:rFonts w:ascii="Arial" w:eastAsia="Arial" w:hAnsi="Arial" w:cs="Arial"/>
          <w:bCs/>
          <w:sz w:val="24"/>
          <w:szCs w:val="24"/>
        </w:rPr>
        <w:t>%,</w:t>
      </w:r>
      <w:r w:rsidR="0026348D" w:rsidRPr="00A15A5C">
        <w:rPr>
          <w:rFonts w:ascii="Arial" w:eastAsia="Arial" w:hAnsi="Arial" w:cs="Arial"/>
          <w:bCs/>
          <w:sz w:val="24"/>
          <w:szCs w:val="24"/>
        </w:rPr>
        <w:t xml:space="preserve"> pari a € 13,4 milioni</w:t>
      </w:r>
      <w:r w:rsidRPr="00A15A5C">
        <w:rPr>
          <w:rFonts w:ascii="Arial" w:eastAsia="Arial" w:hAnsi="Arial" w:cs="Arial"/>
          <w:bCs/>
          <w:sz w:val="24"/>
          <w:szCs w:val="24"/>
        </w:rPr>
        <w:t xml:space="preserve"> di euro</w:t>
      </w:r>
      <w:r w:rsidR="0026348D" w:rsidRPr="00A15A5C">
        <w:rPr>
          <w:rFonts w:ascii="Arial" w:eastAsia="Arial" w:hAnsi="Arial" w:cs="Arial"/>
          <w:bCs/>
          <w:sz w:val="24"/>
          <w:szCs w:val="24"/>
        </w:rPr>
        <w:t>).</w:t>
      </w:r>
    </w:p>
    <w:p w14:paraId="1D293B56" w14:textId="1C4CC282" w:rsidR="00817C46" w:rsidRPr="00A15A5C" w:rsidRDefault="0026348D" w:rsidP="00817C46">
      <w:pPr>
        <w:spacing w:after="0" w:line="276" w:lineRule="auto"/>
        <w:jc w:val="both"/>
        <w:rPr>
          <w:rFonts w:ascii="Arial" w:eastAsia="Arial" w:hAnsi="Arial" w:cs="Arial"/>
          <w:b/>
          <w:sz w:val="20"/>
          <w:szCs w:val="20"/>
        </w:rPr>
      </w:pPr>
      <w:r w:rsidRPr="00A15A5C">
        <w:rPr>
          <w:rFonts w:ascii="Arial" w:eastAsia="Arial" w:hAnsi="Arial" w:cs="Arial"/>
          <w:bCs/>
          <w:sz w:val="24"/>
          <w:szCs w:val="24"/>
        </w:rPr>
        <w:t xml:space="preserve">La mobilità sanitaria, pur interessando tutte le regioni italiane, è particolarmente rilevante nelle regioni del </w:t>
      </w:r>
      <w:r w:rsidR="005D6319" w:rsidRPr="00A15A5C">
        <w:rPr>
          <w:rFonts w:ascii="Arial" w:eastAsia="Arial" w:hAnsi="Arial" w:cs="Arial"/>
          <w:bCs/>
          <w:sz w:val="24"/>
          <w:szCs w:val="24"/>
        </w:rPr>
        <w:t xml:space="preserve">Mezzogiorno </w:t>
      </w:r>
      <w:r w:rsidRPr="00A15A5C">
        <w:rPr>
          <w:rFonts w:ascii="Arial" w:eastAsia="Arial" w:hAnsi="Arial" w:cs="Arial"/>
          <w:bCs/>
          <w:sz w:val="24"/>
          <w:szCs w:val="24"/>
        </w:rPr>
        <w:t xml:space="preserve">ed è indice di una carenza di assistenza pediatrica, che </w:t>
      </w:r>
      <w:r w:rsidR="002F59FC" w:rsidRPr="00A15A5C">
        <w:rPr>
          <w:rFonts w:ascii="Arial" w:eastAsia="Arial" w:hAnsi="Arial" w:cs="Arial"/>
          <w:bCs/>
          <w:sz w:val="24"/>
          <w:szCs w:val="24"/>
        </w:rPr>
        <w:t>dovrebbe essere</w:t>
      </w:r>
      <w:r w:rsidRPr="00A15A5C">
        <w:rPr>
          <w:rFonts w:ascii="Arial" w:eastAsia="Arial" w:hAnsi="Arial" w:cs="Arial"/>
          <w:bCs/>
          <w:sz w:val="24"/>
          <w:szCs w:val="24"/>
        </w:rPr>
        <w:t xml:space="preserve"> rafforzata </w:t>
      </w:r>
      <w:r w:rsidR="002F59FC" w:rsidRPr="00A15A5C">
        <w:rPr>
          <w:rFonts w:ascii="Arial" w:eastAsia="Arial" w:hAnsi="Arial" w:cs="Arial"/>
          <w:bCs/>
          <w:sz w:val="24"/>
          <w:szCs w:val="24"/>
        </w:rPr>
        <w:t>attraverso</w:t>
      </w:r>
      <w:r w:rsidRPr="00A15A5C">
        <w:rPr>
          <w:rFonts w:ascii="Arial" w:eastAsia="Arial" w:hAnsi="Arial" w:cs="Arial"/>
          <w:bCs/>
          <w:sz w:val="24"/>
          <w:szCs w:val="24"/>
        </w:rPr>
        <w:t xml:space="preserve"> la creazione di servizi che attualmente non sono equamente distribuiti sul territorio</w:t>
      </w:r>
      <w:r w:rsidRPr="00A15A5C">
        <w:rPr>
          <w:rFonts w:ascii="Arial" w:eastAsia="Arial" w:hAnsi="Arial" w:cs="Arial"/>
          <w:b/>
          <w:sz w:val="24"/>
          <w:szCs w:val="24"/>
        </w:rPr>
        <w:t>.</w:t>
      </w:r>
      <w:r w:rsidR="00817C46" w:rsidRPr="00A15A5C">
        <w:rPr>
          <w:rFonts w:ascii="Arial" w:eastAsia="Arial" w:hAnsi="Arial" w:cs="Arial"/>
          <w:b/>
          <w:sz w:val="20"/>
          <w:szCs w:val="20"/>
        </w:rPr>
        <w:br w:type="page"/>
      </w:r>
    </w:p>
    <w:p w14:paraId="79421B3B" w14:textId="15340B64" w:rsidR="00D608FA" w:rsidRPr="00A15A5C" w:rsidRDefault="00D608FA" w:rsidP="00BB71B1">
      <w:pPr>
        <w:spacing w:line="276" w:lineRule="auto"/>
        <w:jc w:val="both"/>
        <w:rPr>
          <w:rFonts w:ascii="Arial" w:hAnsi="Arial" w:cs="Arial"/>
          <w:sz w:val="24"/>
          <w:szCs w:val="24"/>
        </w:rPr>
      </w:pPr>
      <w:r w:rsidRPr="00A15A5C">
        <w:rPr>
          <w:rFonts w:ascii="Arial" w:hAnsi="Arial" w:cs="Arial"/>
          <w:b/>
          <w:bCs/>
          <w:sz w:val="24"/>
          <w:szCs w:val="24"/>
        </w:rPr>
        <w:lastRenderedPageBreak/>
        <w:t>Premessa</w:t>
      </w:r>
      <w:r w:rsidRPr="00A15A5C">
        <w:rPr>
          <w:rFonts w:ascii="Arial" w:hAnsi="Arial" w:cs="Arial"/>
          <w:sz w:val="24"/>
          <w:szCs w:val="24"/>
        </w:rPr>
        <w:t>. L'analisi della mobilità sanitaria interregionale rappresenta uno dei principali criteri di valutazione dei Sistemi Sanitari Regionali, sia in termini di rilevanza economico-finanziaria che di qualità e soddisfazione dei servizi erogati</w:t>
      </w:r>
      <w:r w:rsidR="00F943F4" w:rsidRPr="00A15A5C">
        <w:rPr>
          <w:rFonts w:ascii="Arial" w:hAnsi="Arial" w:cs="Arial"/>
          <w:sz w:val="24"/>
          <w:szCs w:val="24"/>
        </w:rPr>
        <w:t xml:space="preserve"> (1</w:t>
      </w:r>
      <w:r w:rsidR="00636ED8" w:rsidRPr="00A15A5C">
        <w:rPr>
          <w:rFonts w:ascii="Arial" w:hAnsi="Arial" w:cs="Arial"/>
          <w:sz w:val="24"/>
          <w:szCs w:val="24"/>
        </w:rPr>
        <w:t>,2</w:t>
      </w:r>
      <w:r w:rsidR="00F943F4" w:rsidRPr="00A15A5C">
        <w:rPr>
          <w:rFonts w:ascii="Arial" w:hAnsi="Arial" w:cs="Arial"/>
          <w:sz w:val="24"/>
          <w:szCs w:val="24"/>
        </w:rPr>
        <w:t>)</w:t>
      </w:r>
      <w:r w:rsidRPr="00A15A5C">
        <w:rPr>
          <w:rFonts w:ascii="Arial" w:hAnsi="Arial" w:cs="Arial"/>
          <w:sz w:val="24"/>
          <w:szCs w:val="24"/>
        </w:rPr>
        <w:t xml:space="preserve">. Lo scopo dello studio è </w:t>
      </w:r>
      <w:r w:rsidR="00D72E4D" w:rsidRPr="00A15A5C">
        <w:rPr>
          <w:rFonts w:ascii="Arial" w:hAnsi="Arial" w:cs="Arial"/>
          <w:sz w:val="24"/>
          <w:szCs w:val="24"/>
        </w:rPr>
        <w:t xml:space="preserve">stato </w:t>
      </w:r>
      <w:r w:rsidRPr="00A15A5C">
        <w:rPr>
          <w:rFonts w:ascii="Arial" w:hAnsi="Arial" w:cs="Arial"/>
          <w:sz w:val="24"/>
          <w:szCs w:val="24"/>
        </w:rPr>
        <w:t xml:space="preserve">quello di analizzare la mobilità sanitaria e i relativi costi in Italia nel 2019 per tutti i bambini </w:t>
      </w:r>
      <w:r w:rsidR="00C3132C" w:rsidRPr="00A15A5C">
        <w:rPr>
          <w:rFonts w:ascii="Arial" w:hAnsi="Arial" w:cs="Arial"/>
          <w:sz w:val="24"/>
          <w:szCs w:val="24"/>
        </w:rPr>
        <w:t xml:space="preserve">e ragazzi </w:t>
      </w:r>
      <w:r w:rsidR="00885BC9" w:rsidRPr="00A15A5C">
        <w:rPr>
          <w:rFonts w:ascii="Arial" w:hAnsi="Arial" w:cs="Arial"/>
          <w:sz w:val="24"/>
          <w:szCs w:val="24"/>
        </w:rPr>
        <w:t>con un’</w:t>
      </w:r>
      <w:r w:rsidRPr="00A15A5C">
        <w:rPr>
          <w:rFonts w:ascii="Arial" w:hAnsi="Arial" w:cs="Arial"/>
          <w:sz w:val="24"/>
          <w:szCs w:val="24"/>
        </w:rPr>
        <w:t xml:space="preserve">età </w:t>
      </w:r>
      <w:r w:rsidR="00885BC9" w:rsidRPr="00A15A5C">
        <w:rPr>
          <w:rFonts w:ascii="Arial" w:hAnsi="Arial" w:cs="Arial"/>
          <w:sz w:val="24"/>
          <w:szCs w:val="24"/>
        </w:rPr>
        <w:t>≤ 14 anni.</w:t>
      </w:r>
    </w:p>
    <w:p w14:paraId="7712E05E" w14:textId="6F180150" w:rsidR="00D863B3" w:rsidRPr="00A15A5C" w:rsidRDefault="00D608FA" w:rsidP="00D863B3">
      <w:pPr>
        <w:spacing w:after="0" w:line="276" w:lineRule="auto"/>
        <w:jc w:val="both"/>
        <w:rPr>
          <w:rFonts w:ascii="Arial" w:eastAsia="Arial" w:hAnsi="Arial" w:cs="Arial"/>
          <w:sz w:val="24"/>
          <w:szCs w:val="24"/>
        </w:rPr>
      </w:pPr>
      <w:r w:rsidRPr="00A15A5C">
        <w:rPr>
          <w:rFonts w:ascii="Arial" w:hAnsi="Arial" w:cs="Arial"/>
          <w:b/>
          <w:bCs/>
          <w:sz w:val="24"/>
          <w:szCs w:val="24"/>
        </w:rPr>
        <w:t>Metodi</w:t>
      </w:r>
      <w:r w:rsidRPr="00A15A5C">
        <w:rPr>
          <w:rFonts w:ascii="Arial" w:hAnsi="Arial" w:cs="Arial"/>
          <w:sz w:val="24"/>
          <w:szCs w:val="24"/>
        </w:rPr>
        <w:t>. Sono stati raccolti i dati dal "Rapporto annuale sull'attività di ricovero ospedaliero - Dati SDO 2019" pubblicato dal Ministero della Salute</w:t>
      </w:r>
      <w:r w:rsidR="00636ED8" w:rsidRPr="00A15A5C">
        <w:rPr>
          <w:rFonts w:ascii="Arial" w:hAnsi="Arial" w:cs="Arial"/>
          <w:sz w:val="24"/>
          <w:szCs w:val="24"/>
        </w:rPr>
        <w:t xml:space="preserve"> (3)</w:t>
      </w:r>
      <w:r w:rsidRPr="00A15A5C">
        <w:rPr>
          <w:rFonts w:ascii="Arial" w:hAnsi="Arial" w:cs="Arial"/>
          <w:sz w:val="24"/>
          <w:szCs w:val="24"/>
        </w:rPr>
        <w:t xml:space="preserve">. Questi dati rappresentano lo strumento di raccolta delle informazioni relative a tutte le prestazioni di ricovero erogate negli ospedali pubblici e privati accreditati presenti sul territorio nazionale. Sono stati raccolti i dati per tutte le regioni italiane, raggruppate in due aree geografiche: Regioni del Centro-Nord e </w:t>
      </w:r>
      <w:r w:rsidR="00A2083D" w:rsidRPr="00A15A5C">
        <w:rPr>
          <w:rFonts w:ascii="Arial" w:hAnsi="Arial" w:cs="Arial"/>
          <w:sz w:val="24"/>
          <w:szCs w:val="24"/>
        </w:rPr>
        <w:t xml:space="preserve">del Mezzogiorno (Abruzzo, Molise, Campania, Puglia, Basilicata, Calabria, </w:t>
      </w:r>
      <w:r w:rsidRPr="00A15A5C">
        <w:rPr>
          <w:rFonts w:ascii="Arial" w:hAnsi="Arial" w:cs="Arial"/>
          <w:sz w:val="24"/>
          <w:szCs w:val="24"/>
        </w:rPr>
        <w:t xml:space="preserve">Sicilia e Sardegna). È stata dunque analizzata l'entità dei flussi di mobilità dei bambini (ospedalizzazioni totali e ricoveri ad alta intensità) tra le regioni e in particolare dal </w:t>
      </w:r>
      <w:r w:rsidR="00A2083D" w:rsidRPr="00A15A5C">
        <w:rPr>
          <w:rFonts w:ascii="Arial" w:hAnsi="Arial" w:cs="Arial"/>
          <w:sz w:val="24"/>
          <w:szCs w:val="24"/>
        </w:rPr>
        <w:t xml:space="preserve">Mezzogiorno </w:t>
      </w:r>
      <w:r w:rsidRPr="00A15A5C">
        <w:rPr>
          <w:rFonts w:ascii="Arial" w:hAnsi="Arial" w:cs="Arial"/>
          <w:sz w:val="24"/>
          <w:szCs w:val="24"/>
        </w:rPr>
        <w:t xml:space="preserve">al Centro-Nord e il costo relativo di questa mobilità interregionale. </w:t>
      </w:r>
      <w:r w:rsidR="00BB71B1" w:rsidRPr="00A15A5C">
        <w:rPr>
          <w:rFonts w:ascii="Arial" w:hAnsi="Arial" w:cs="Arial"/>
          <w:sz w:val="24"/>
          <w:szCs w:val="24"/>
        </w:rPr>
        <w:t>È</w:t>
      </w:r>
      <w:r w:rsidR="00D72E4D" w:rsidRPr="00A15A5C">
        <w:rPr>
          <w:rFonts w:ascii="Arial" w:hAnsi="Arial" w:cs="Arial"/>
          <w:sz w:val="24"/>
          <w:szCs w:val="24"/>
        </w:rPr>
        <w:t xml:space="preserve"> </w:t>
      </w:r>
      <w:r w:rsidR="00F952D2" w:rsidRPr="00A15A5C">
        <w:rPr>
          <w:rFonts w:ascii="Arial" w:hAnsi="Arial" w:cs="Arial"/>
          <w:sz w:val="24"/>
          <w:szCs w:val="24"/>
        </w:rPr>
        <w:t xml:space="preserve">stata studiata </w:t>
      </w:r>
      <w:r w:rsidR="00C56F24" w:rsidRPr="00A15A5C">
        <w:rPr>
          <w:rFonts w:ascii="Arial" w:hAnsi="Arial" w:cs="Arial"/>
          <w:sz w:val="24"/>
          <w:szCs w:val="24"/>
        </w:rPr>
        <w:t xml:space="preserve">la </w:t>
      </w:r>
      <w:r w:rsidR="00C56F24" w:rsidRPr="00A15A5C">
        <w:rPr>
          <w:rFonts w:ascii="Arial" w:hAnsi="Arial" w:cs="Arial"/>
          <w:i/>
          <w:sz w:val="24"/>
          <w:szCs w:val="24"/>
        </w:rPr>
        <w:t xml:space="preserve">mobilità </w:t>
      </w:r>
      <w:r w:rsidR="00F952D2" w:rsidRPr="00A15A5C">
        <w:rPr>
          <w:rFonts w:ascii="Arial" w:hAnsi="Arial" w:cs="Arial"/>
          <w:i/>
          <w:sz w:val="24"/>
          <w:szCs w:val="24"/>
        </w:rPr>
        <w:t>passiva</w:t>
      </w:r>
      <w:r w:rsidR="00C56F24" w:rsidRPr="00A15A5C">
        <w:rPr>
          <w:rFonts w:ascii="Arial" w:hAnsi="Arial" w:cs="Arial"/>
          <w:sz w:val="24"/>
          <w:szCs w:val="24"/>
        </w:rPr>
        <w:t xml:space="preserve">, che descrive tutte le prestazioni erogate in favore di </w:t>
      </w:r>
      <w:r w:rsidR="00F952D2" w:rsidRPr="00A15A5C">
        <w:rPr>
          <w:rFonts w:ascii="Arial" w:hAnsi="Arial" w:cs="Arial"/>
          <w:sz w:val="24"/>
          <w:szCs w:val="24"/>
        </w:rPr>
        <w:t>u</w:t>
      </w:r>
      <w:r w:rsidR="00C56F24" w:rsidRPr="00A15A5C">
        <w:rPr>
          <w:rFonts w:ascii="Arial" w:hAnsi="Arial" w:cs="Arial"/>
          <w:sz w:val="24"/>
          <w:szCs w:val="24"/>
        </w:rPr>
        <w:t xml:space="preserve">tenti residenti, per opera di Strutture Sanitarie - pubbliche e private accreditate - ubicate fuori dal territorio delle Regioni/Province autonome </w:t>
      </w:r>
      <w:r w:rsidR="00F952D2" w:rsidRPr="00A15A5C">
        <w:rPr>
          <w:rFonts w:ascii="Arial" w:hAnsi="Arial" w:cs="Arial"/>
          <w:sz w:val="24"/>
          <w:szCs w:val="24"/>
        </w:rPr>
        <w:t xml:space="preserve">e che </w:t>
      </w:r>
      <w:r w:rsidR="00C56F24" w:rsidRPr="00A15A5C">
        <w:rPr>
          <w:rFonts w:ascii="Arial" w:hAnsi="Arial" w:cs="Arial"/>
          <w:sz w:val="24"/>
          <w:szCs w:val="24"/>
        </w:rPr>
        <w:t xml:space="preserve">rappresenta quindi la </w:t>
      </w:r>
      <w:r w:rsidR="00F952D2" w:rsidRPr="00A15A5C">
        <w:rPr>
          <w:rFonts w:ascii="Arial" w:hAnsi="Arial" w:cs="Arial"/>
          <w:i/>
          <w:sz w:val="24"/>
          <w:szCs w:val="24"/>
        </w:rPr>
        <w:t>fuga</w:t>
      </w:r>
      <w:r w:rsidR="00C56F24" w:rsidRPr="00A15A5C">
        <w:rPr>
          <w:rFonts w:ascii="Arial" w:hAnsi="Arial" w:cs="Arial"/>
          <w:sz w:val="24"/>
          <w:szCs w:val="24"/>
        </w:rPr>
        <w:t xml:space="preserve"> dei </w:t>
      </w:r>
      <w:r w:rsidR="00F952D2" w:rsidRPr="00A15A5C">
        <w:rPr>
          <w:rFonts w:ascii="Arial" w:hAnsi="Arial" w:cs="Arial"/>
          <w:sz w:val="24"/>
          <w:szCs w:val="24"/>
        </w:rPr>
        <w:t>c</w:t>
      </w:r>
      <w:r w:rsidR="00C56F24" w:rsidRPr="00A15A5C">
        <w:rPr>
          <w:rFonts w:ascii="Arial" w:hAnsi="Arial" w:cs="Arial"/>
          <w:sz w:val="24"/>
          <w:szCs w:val="24"/>
        </w:rPr>
        <w:t>ittadini residenti e la loro scelta di curarsi all’esterno del territorio di residenza</w:t>
      </w:r>
      <w:r w:rsidR="00636ED8" w:rsidRPr="00A15A5C">
        <w:rPr>
          <w:rFonts w:ascii="Arial" w:hAnsi="Arial" w:cs="Arial"/>
          <w:sz w:val="24"/>
          <w:szCs w:val="24"/>
        </w:rPr>
        <w:t xml:space="preserve"> (3)</w:t>
      </w:r>
      <w:r w:rsidR="00C56F24" w:rsidRPr="00A15A5C">
        <w:rPr>
          <w:rFonts w:ascii="Arial" w:hAnsi="Arial" w:cs="Arial"/>
          <w:sz w:val="24"/>
          <w:szCs w:val="24"/>
        </w:rPr>
        <w:t xml:space="preserve">. </w:t>
      </w:r>
      <w:r w:rsidR="00F952D2" w:rsidRPr="00A15A5C">
        <w:rPr>
          <w:rFonts w:ascii="Arial" w:hAnsi="Arial" w:cs="Arial"/>
          <w:sz w:val="24"/>
          <w:szCs w:val="24"/>
        </w:rPr>
        <w:t xml:space="preserve">Il termine di </w:t>
      </w:r>
      <w:r w:rsidR="00C56F24" w:rsidRPr="00A15A5C">
        <w:rPr>
          <w:rFonts w:ascii="Arial" w:hAnsi="Arial" w:cs="Arial"/>
          <w:i/>
          <w:sz w:val="24"/>
          <w:szCs w:val="24"/>
        </w:rPr>
        <w:t xml:space="preserve">mobilità </w:t>
      </w:r>
      <w:r w:rsidR="00F952D2" w:rsidRPr="00A15A5C">
        <w:rPr>
          <w:rFonts w:ascii="Arial" w:hAnsi="Arial" w:cs="Arial"/>
          <w:i/>
          <w:sz w:val="24"/>
          <w:szCs w:val="24"/>
        </w:rPr>
        <w:t>attiva</w:t>
      </w:r>
      <w:r w:rsidR="00F952D2" w:rsidRPr="00A15A5C">
        <w:rPr>
          <w:rFonts w:ascii="Arial" w:hAnsi="Arial" w:cs="Arial"/>
          <w:sz w:val="24"/>
          <w:szCs w:val="24"/>
        </w:rPr>
        <w:t xml:space="preserve"> è stato utilizzato per </w:t>
      </w:r>
      <w:r w:rsidR="00C56F24" w:rsidRPr="00A15A5C">
        <w:rPr>
          <w:rFonts w:ascii="Arial" w:hAnsi="Arial" w:cs="Arial"/>
          <w:sz w:val="24"/>
          <w:szCs w:val="24"/>
        </w:rPr>
        <w:t>descrive</w:t>
      </w:r>
      <w:r w:rsidR="00F952D2" w:rsidRPr="00A15A5C">
        <w:rPr>
          <w:rFonts w:ascii="Arial" w:hAnsi="Arial" w:cs="Arial"/>
          <w:sz w:val="24"/>
          <w:szCs w:val="24"/>
        </w:rPr>
        <w:t>re</w:t>
      </w:r>
      <w:r w:rsidR="00C56F24" w:rsidRPr="00A15A5C">
        <w:rPr>
          <w:rFonts w:ascii="Arial" w:hAnsi="Arial" w:cs="Arial"/>
          <w:sz w:val="24"/>
          <w:szCs w:val="24"/>
        </w:rPr>
        <w:t xml:space="preserve"> tutte le prestazioni erogate all’interno dalle Strutture Sanitarie delle Regioni/Province autonome - pubbliche e private accreditate - in favore di Utenti di altre Regioni/Province autonome/Stati Esteri</w:t>
      </w:r>
      <w:r w:rsidR="00F952D2" w:rsidRPr="00A15A5C">
        <w:rPr>
          <w:rFonts w:ascii="Arial" w:hAnsi="Arial" w:cs="Arial"/>
          <w:sz w:val="24"/>
          <w:szCs w:val="24"/>
        </w:rPr>
        <w:t xml:space="preserve">; </w:t>
      </w:r>
      <w:r w:rsidR="00C56F24" w:rsidRPr="00A15A5C">
        <w:rPr>
          <w:rFonts w:ascii="Arial" w:hAnsi="Arial" w:cs="Arial"/>
          <w:sz w:val="24"/>
          <w:szCs w:val="24"/>
        </w:rPr>
        <w:t xml:space="preserve">rappresenta </w:t>
      </w:r>
      <w:r w:rsidR="00F952D2" w:rsidRPr="00A15A5C">
        <w:rPr>
          <w:rFonts w:ascii="Arial" w:hAnsi="Arial" w:cs="Arial"/>
          <w:sz w:val="24"/>
          <w:szCs w:val="24"/>
        </w:rPr>
        <w:t xml:space="preserve">quindi l’attrazione </w:t>
      </w:r>
      <w:r w:rsidR="00C56F24" w:rsidRPr="00A15A5C">
        <w:rPr>
          <w:rFonts w:ascii="Arial" w:hAnsi="Arial" w:cs="Arial"/>
          <w:sz w:val="24"/>
          <w:szCs w:val="24"/>
        </w:rPr>
        <w:t xml:space="preserve">esercitata dalle Strutture Sanitarie in favore di </w:t>
      </w:r>
      <w:r w:rsidR="00F952D2" w:rsidRPr="00A15A5C">
        <w:rPr>
          <w:rFonts w:ascii="Arial" w:hAnsi="Arial" w:cs="Arial"/>
          <w:sz w:val="24"/>
          <w:szCs w:val="24"/>
        </w:rPr>
        <w:t>u</w:t>
      </w:r>
      <w:r w:rsidR="00C56F24" w:rsidRPr="00A15A5C">
        <w:rPr>
          <w:rFonts w:ascii="Arial" w:hAnsi="Arial" w:cs="Arial"/>
          <w:sz w:val="24"/>
          <w:szCs w:val="24"/>
        </w:rPr>
        <w:t>tenti non residenti</w:t>
      </w:r>
      <w:r w:rsidR="00636ED8" w:rsidRPr="00A15A5C">
        <w:rPr>
          <w:rFonts w:ascii="Arial" w:hAnsi="Arial" w:cs="Arial"/>
          <w:sz w:val="24"/>
          <w:szCs w:val="24"/>
        </w:rPr>
        <w:t xml:space="preserve"> (3)</w:t>
      </w:r>
      <w:r w:rsidR="00C56F24" w:rsidRPr="00A15A5C">
        <w:rPr>
          <w:rFonts w:ascii="Arial" w:hAnsi="Arial" w:cs="Arial"/>
          <w:sz w:val="24"/>
          <w:szCs w:val="24"/>
        </w:rPr>
        <w:t>.</w:t>
      </w:r>
      <w:r w:rsidR="00D863B3" w:rsidRPr="00A15A5C">
        <w:rPr>
          <w:rFonts w:ascii="Arial" w:eastAsia="Arial" w:hAnsi="Arial" w:cs="Arial"/>
          <w:sz w:val="24"/>
          <w:szCs w:val="24"/>
        </w:rPr>
        <w:t xml:space="preserve"> </w:t>
      </w:r>
    </w:p>
    <w:p w14:paraId="558E4722" w14:textId="57A2933A" w:rsidR="00D863B3" w:rsidRPr="00A15A5C" w:rsidRDefault="00D863B3" w:rsidP="00D863B3">
      <w:pPr>
        <w:spacing w:after="0" w:line="276" w:lineRule="auto"/>
        <w:jc w:val="both"/>
        <w:rPr>
          <w:rFonts w:ascii="Arial" w:eastAsia="Arial" w:hAnsi="Arial" w:cs="Arial"/>
          <w:sz w:val="24"/>
          <w:szCs w:val="24"/>
        </w:rPr>
      </w:pPr>
      <w:r w:rsidRPr="00A15A5C">
        <w:rPr>
          <w:rFonts w:ascii="Arial" w:eastAsia="Arial" w:hAnsi="Arial" w:cs="Arial"/>
          <w:sz w:val="24"/>
          <w:szCs w:val="24"/>
        </w:rPr>
        <w:t xml:space="preserve">Sono state valutate anche le </w:t>
      </w:r>
      <w:r w:rsidRPr="00A15A5C">
        <w:rPr>
          <w:rFonts w:ascii="Arial" w:eastAsia="Arial" w:hAnsi="Arial" w:cs="Arial"/>
          <w:i/>
          <w:sz w:val="24"/>
          <w:szCs w:val="24"/>
        </w:rPr>
        <w:t>prestazioni ad alta complessità</w:t>
      </w:r>
      <w:r w:rsidRPr="00A15A5C">
        <w:rPr>
          <w:rFonts w:ascii="Arial" w:eastAsia="Arial" w:hAnsi="Arial" w:cs="Arial"/>
          <w:sz w:val="24"/>
          <w:szCs w:val="24"/>
        </w:rPr>
        <w:t>, individuate come previsto dall’ “</w:t>
      </w:r>
      <w:r w:rsidRPr="00A15A5C">
        <w:rPr>
          <w:rFonts w:ascii="Arial" w:eastAsia="Arial" w:hAnsi="Arial" w:cs="Arial"/>
          <w:i/>
          <w:sz w:val="24"/>
          <w:szCs w:val="24"/>
        </w:rPr>
        <w:t>Accordo Interregionale per la compensazione della Mobilità Sanitaria anno 2019</w:t>
      </w:r>
      <w:r w:rsidRPr="00A15A5C">
        <w:rPr>
          <w:rFonts w:ascii="Arial" w:eastAsia="Arial" w:hAnsi="Arial" w:cs="Arial"/>
          <w:sz w:val="24"/>
          <w:szCs w:val="24"/>
        </w:rPr>
        <w:t>” (</w:t>
      </w:r>
      <w:r w:rsidR="00636ED8" w:rsidRPr="00A15A5C">
        <w:rPr>
          <w:rFonts w:ascii="Arial" w:eastAsia="Arial" w:hAnsi="Arial" w:cs="Arial"/>
          <w:sz w:val="24"/>
          <w:szCs w:val="24"/>
        </w:rPr>
        <w:t>4</w:t>
      </w:r>
      <w:r w:rsidRPr="00A15A5C">
        <w:rPr>
          <w:rFonts w:ascii="Arial" w:eastAsia="Arial" w:hAnsi="Arial" w:cs="Arial"/>
          <w:sz w:val="24"/>
          <w:szCs w:val="24"/>
        </w:rPr>
        <w:t>)</w:t>
      </w:r>
      <w:r w:rsidR="00F84A54" w:rsidRPr="00A15A5C">
        <w:rPr>
          <w:rFonts w:ascii="Arial" w:eastAsia="Arial" w:hAnsi="Arial" w:cs="Arial"/>
          <w:sz w:val="24"/>
          <w:szCs w:val="24"/>
        </w:rPr>
        <w:t>.</w:t>
      </w:r>
    </w:p>
    <w:p w14:paraId="781B98C5" w14:textId="6041EEA3" w:rsidR="00C56F24" w:rsidRPr="00A15A5C" w:rsidRDefault="00D863B3" w:rsidP="00636ED8">
      <w:pPr>
        <w:jc w:val="both"/>
        <w:rPr>
          <w:rFonts w:ascii="Arial" w:eastAsia="Arial" w:hAnsi="Arial" w:cs="Arial"/>
          <w:sz w:val="24"/>
          <w:szCs w:val="24"/>
        </w:rPr>
      </w:pPr>
      <w:r w:rsidRPr="00A15A5C">
        <w:rPr>
          <w:rFonts w:ascii="Arial" w:eastAsia="Arial" w:hAnsi="Arial" w:cs="Arial"/>
          <w:sz w:val="24"/>
          <w:szCs w:val="24"/>
        </w:rPr>
        <w:t xml:space="preserve">Sul piano economico gli importi derivati dal saldo (differenza tra attrazione e fuga) di mobilità sanitaria tra le Regioni/Province Autonome sono </w:t>
      </w:r>
      <w:r w:rsidR="00754CD9" w:rsidRPr="00A15A5C">
        <w:rPr>
          <w:rFonts w:ascii="Arial" w:eastAsia="Arial" w:hAnsi="Arial" w:cs="Arial"/>
          <w:sz w:val="24"/>
          <w:szCs w:val="24"/>
        </w:rPr>
        <w:t xml:space="preserve">un </w:t>
      </w:r>
      <w:r w:rsidRPr="00A15A5C">
        <w:rPr>
          <w:rFonts w:ascii="Arial" w:eastAsia="Arial" w:hAnsi="Arial" w:cs="Arial"/>
          <w:sz w:val="24"/>
          <w:szCs w:val="24"/>
        </w:rPr>
        <w:t>parametro di compensazione durante la definizione annuale delle quote di riparto del fondo sanitario</w:t>
      </w:r>
      <w:bookmarkStart w:id="0" w:name="_9pav7zq9rt4e" w:colFirst="0" w:colLast="0"/>
      <w:bookmarkEnd w:id="0"/>
    </w:p>
    <w:p w14:paraId="55C0C4F6" w14:textId="3AD33B07" w:rsidR="00D72E4D" w:rsidRPr="00A15A5C" w:rsidRDefault="00D72E4D" w:rsidP="00BB71B1">
      <w:pPr>
        <w:spacing w:line="276" w:lineRule="auto"/>
        <w:jc w:val="both"/>
        <w:rPr>
          <w:rFonts w:ascii="Arial" w:hAnsi="Arial" w:cs="Arial"/>
          <w:sz w:val="24"/>
          <w:szCs w:val="24"/>
        </w:rPr>
      </w:pPr>
      <w:r w:rsidRPr="00A15A5C">
        <w:rPr>
          <w:rFonts w:ascii="Arial" w:hAnsi="Arial" w:cs="Arial"/>
          <w:b/>
          <w:bCs/>
          <w:sz w:val="24"/>
          <w:szCs w:val="24"/>
        </w:rPr>
        <w:t>Risultati</w:t>
      </w:r>
      <w:r w:rsidRPr="00A15A5C">
        <w:rPr>
          <w:rFonts w:ascii="Arial" w:hAnsi="Arial" w:cs="Arial"/>
          <w:sz w:val="24"/>
          <w:szCs w:val="24"/>
        </w:rPr>
        <w:t xml:space="preserve">. In Italia, nel 2019 </w:t>
      </w:r>
      <w:r w:rsidR="00A2083D" w:rsidRPr="00A15A5C">
        <w:rPr>
          <w:rFonts w:ascii="Arial" w:hAnsi="Arial" w:cs="Arial"/>
          <w:sz w:val="24"/>
          <w:szCs w:val="24"/>
        </w:rPr>
        <w:t xml:space="preserve">la popolazione ≤ 14 anni era rappresentata complessivamente da </w:t>
      </w:r>
      <w:r w:rsidR="00A2083D" w:rsidRPr="00A15A5C">
        <w:rPr>
          <w:rFonts w:ascii="Arial" w:hAnsi="Arial" w:cs="Arial"/>
          <w:bCs/>
          <w:color w:val="000000"/>
          <w:sz w:val="24"/>
          <w:szCs w:val="24"/>
        </w:rPr>
        <w:t>7.871.887 soggetti dei quali circa il 35% residente nelle regioni</w:t>
      </w:r>
      <w:r w:rsidR="00C3132C" w:rsidRPr="00A15A5C">
        <w:rPr>
          <w:rFonts w:ascii="Arial" w:hAnsi="Arial" w:cs="Arial"/>
          <w:bCs/>
          <w:color w:val="000000"/>
          <w:sz w:val="24"/>
          <w:szCs w:val="24"/>
        </w:rPr>
        <w:t xml:space="preserve"> del mezzogiorno</w:t>
      </w:r>
      <w:r w:rsidR="00A2083D" w:rsidRPr="00A15A5C">
        <w:rPr>
          <w:rFonts w:ascii="Arial" w:hAnsi="Arial" w:cs="Arial"/>
          <w:bCs/>
          <w:color w:val="000000"/>
          <w:sz w:val="24"/>
          <w:szCs w:val="24"/>
        </w:rPr>
        <w:t>.</w:t>
      </w:r>
      <w:r w:rsidR="00A2083D" w:rsidRPr="00A15A5C">
        <w:rPr>
          <w:rFonts w:ascii="Arial" w:hAnsi="Arial" w:cs="Arial"/>
          <w:b/>
          <w:bCs/>
          <w:color w:val="000000"/>
          <w:sz w:val="24"/>
          <w:szCs w:val="24"/>
        </w:rPr>
        <w:t xml:space="preserve"> </w:t>
      </w:r>
      <w:r w:rsidR="00A2083D" w:rsidRPr="00A15A5C">
        <w:rPr>
          <w:rFonts w:ascii="Arial" w:hAnsi="Arial" w:cs="Arial"/>
          <w:bCs/>
          <w:color w:val="000000"/>
          <w:sz w:val="24"/>
          <w:szCs w:val="24"/>
        </w:rPr>
        <w:t>S</w:t>
      </w:r>
      <w:r w:rsidRPr="00A15A5C">
        <w:rPr>
          <w:rFonts w:ascii="Arial" w:hAnsi="Arial" w:cs="Arial"/>
          <w:sz w:val="24"/>
          <w:szCs w:val="24"/>
        </w:rPr>
        <w:t xml:space="preserve">i sono avuti 1.009.904 ricoveri tra la popolazione ≤ 14 anni, di cui 921.491 (91,2%) all'interno della regione di residenza. </w:t>
      </w:r>
      <w:r w:rsidR="00636ED8" w:rsidRPr="00A15A5C">
        <w:rPr>
          <w:rFonts w:ascii="Arial" w:hAnsi="Arial" w:cs="Arial"/>
          <w:sz w:val="24"/>
          <w:szCs w:val="24"/>
        </w:rPr>
        <w:t>È</w:t>
      </w:r>
      <w:r w:rsidR="00C3132C" w:rsidRPr="00A15A5C">
        <w:rPr>
          <w:rFonts w:ascii="Arial" w:hAnsi="Arial" w:cs="Arial"/>
          <w:sz w:val="24"/>
          <w:szCs w:val="24"/>
        </w:rPr>
        <w:t xml:space="preserve"> stato osservato un </w:t>
      </w:r>
      <w:r w:rsidRPr="00A15A5C">
        <w:rPr>
          <w:rFonts w:ascii="Arial" w:hAnsi="Arial" w:cs="Arial"/>
          <w:sz w:val="24"/>
          <w:szCs w:val="24"/>
        </w:rPr>
        <w:t xml:space="preserve">tasso di ospedalizzazione più elevato tra i bambini delle regioni del </w:t>
      </w:r>
      <w:r w:rsidR="00C3132C" w:rsidRPr="00A15A5C">
        <w:rPr>
          <w:rFonts w:ascii="Arial" w:hAnsi="Arial" w:cs="Arial"/>
          <w:sz w:val="24"/>
          <w:szCs w:val="24"/>
        </w:rPr>
        <w:t>Mezzogiorno rispetto a quelli del Centro-</w:t>
      </w:r>
      <w:r w:rsidR="005D6319" w:rsidRPr="00A15A5C">
        <w:rPr>
          <w:rFonts w:ascii="Arial" w:hAnsi="Arial" w:cs="Arial"/>
          <w:sz w:val="24"/>
          <w:szCs w:val="24"/>
        </w:rPr>
        <w:t>N</w:t>
      </w:r>
      <w:r w:rsidR="00C3132C" w:rsidRPr="00A15A5C">
        <w:rPr>
          <w:rFonts w:ascii="Arial" w:hAnsi="Arial" w:cs="Arial"/>
          <w:sz w:val="24"/>
          <w:szCs w:val="24"/>
        </w:rPr>
        <w:t>ord</w:t>
      </w:r>
      <w:r w:rsidRPr="00A15A5C">
        <w:rPr>
          <w:rFonts w:ascii="Arial" w:hAnsi="Arial" w:cs="Arial"/>
          <w:sz w:val="24"/>
          <w:szCs w:val="24"/>
        </w:rPr>
        <w:t xml:space="preserve"> (13,9% vs 12,3%). </w:t>
      </w:r>
    </w:p>
    <w:p w14:paraId="5F50F3E5" w14:textId="2CC0B4F0" w:rsidR="00A2083D" w:rsidRPr="00A15A5C" w:rsidRDefault="00D72E4D" w:rsidP="00BB71B1">
      <w:pPr>
        <w:spacing w:line="276" w:lineRule="auto"/>
        <w:jc w:val="both"/>
        <w:rPr>
          <w:rFonts w:ascii="Arial" w:hAnsi="Arial" w:cs="Arial"/>
          <w:sz w:val="24"/>
          <w:szCs w:val="24"/>
        </w:rPr>
      </w:pPr>
      <w:r w:rsidRPr="00A15A5C">
        <w:rPr>
          <w:rFonts w:ascii="Arial" w:hAnsi="Arial" w:cs="Arial"/>
          <w:sz w:val="24"/>
          <w:szCs w:val="24"/>
        </w:rPr>
        <w:t xml:space="preserve">L'indice di fuga sul totale dei ricoveri ha presentato ampie </w:t>
      </w:r>
      <w:r w:rsidR="00C3132C" w:rsidRPr="00A15A5C">
        <w:rPr>
          <w:rFonts w:ascii="Arial" w:hAnsi="Arial" w:cs="Arial"/>
          <w:sz w:val="24"/>
          <w:szCs w:val="24"/>
        </w:rPr>
        <w:t xml:space="preserve">differenze variando </w:t>
      </w:r>
      <w:r w:rsidRPr="00A15A5C">
        <w:rPr>
          <w:rFonts w:ascii="Arial" w:hAnsi="Arial" w:cs="Arial"/>
          <w:sz w:val="24"/>
          <w:szCs w:val="24"/>
        </w:rPr>
        <w:t xml:space="preserve">dal 4,2% del Lazio al 40,1% del Molise (Tabella 1). </w:t>
      </w:r>
    </w:p>
    <w:p w14:paraId="3FA992ED" w14:textId="3B8697BD" w:rsidR="00D72E4D" w:rsidRPr="00A15A5C" w:rsidRDefault="00D72E4D" w:rsidP="00BB71B1">
      <w:pPr>
        <w:spacing w:line="276" w:lineRule="auto"/>
        <w:jc w:val="both"/>
        <w:rPr>
          <w:rFonts w:ascii="Arial" w:hAnsi="Arial" w:cs="Arial"/>
          <w:sz w:val="24"/>
          <w:szCs w:val="24"/>
        </w:rPr>
      </w:pPr>
      <w:r w:rsidRPr="00A15A5C">
        <w:rPr>
          <w:rFonts w:ascii="Arial" w:hAnsi="Arial" w:cs="Arial"/>
          <w:sz w:val="24"/>
          <w:szCs w:val="24"/>
        </w:rPr>
        <w:t>La spesa complessiva per</w:t>
      </w:r>
      <w:r w:rsidR="00C3132C" w:rsidRPr="00A15A5C">
        <w:rPr>
          <w:rFonts w:ascii="Arial" w:hAnsi="Arial" w:cs="Arial"/>
          <w:sz w:val="24"/>
          <w:szCs w:val="24"/>
        </w:rPr>
        <w:t xml:space="preserve"> tutti i </w:t>
      </w:r>
      <w:r w:rsidRPr="00A15A5C">
        <w:rPr>
          <w:rFonts w:ascii="Arial" w:hAnsi="Arial" w:cs="Arial"/>
          <w:sz w:val="24"/>
          <w:szCs w:val="24"/>
        </w:rPr>
        <w:t xml:space="preserve">ricoveri </w:t>
      </w:r>
      <w:r w:rsidR="00C3132C" w:rsidRPr="00A15A5C">
        <w:rPr>
          <w:rFonts w:ascii="Arial" w:hAnsi="Arial" w:cs="Arial"/>
          <w:sz w:val="24"/>
          <w:szCs w:val="24"/>
        </w:rPr>
        <w:t xml:space="preserve">dei soggetti ≤ 14 anni di età </w:t>
      </w:r>
      <w:r w:rsidRPr="00A15A5C">
        <w:rPr>
          <w:rFonts w:ascii="Arial" w:hAnsi="Arial" w:cs="Arial"/>
          <w:sz w:val="24"/>
          <w:szCs w:val="24"/>
        </w:rPr>
        <w:t xml:space="preserve">è stata pari a circa 1,7 miliardi di euro, di cui 193,6 milioni di euro </w:t>
      </w:r>
      <w:r w:rsidR="00A2083D" w:rsidRPr="00A15A5C">
        <w:rPr>
          <w:rFonts w:ascii="Arial" w:hAnsi="Arial" w:cs="Arial"/>
          <w:sz w:val="24"/>
          <w:szCs w:val="24"/>
        </w:rPr>
        <w:t xml:space="preserve">relative </w:t>
      </w:r>
      <w:r w:rsidRPr="00A15A5C">
        <w:rPr>
          <w:rFonts w:ascii="Arial" w:hAnsi="Arial" w:cs="Arial"/>
          <w:sz w:val="24"/>
          <w:szCs w:val="24"/>
        </w:rPr>
        <w:t xml:space="preserve">alla mobilità passiva. Di questi, oltre il 50% </w:t>
      </w:r>
      <w:r w:rsidR="00C3132C" w:rsidRPr="00A15A5C">
        <w:rPr>
          <w:rFonts w:ascii="Arial" w:hAnsi="Arial" w:cs="Arial"/>
          <w:sz w:val="24"/>
          <w:szCs w:val="24"/>
        </w:rPr>
        <w:t xml:space="preserve">ha riguardato </w:t>
      </w:r>
      <w:r w:rsidRPr="00A15A5C">
        <w:rPr>
          <w:rFonts w:ascii="Arial" w:hAnsi="Arial" w:cs="Arial"/>
          <w:sz w:val="24"/>
          <w:szCs w:val="24"/>
        </w:rPr>
        <w:t xml:space="preserve">le 8 regioni del </w:t>
      </w:r>
      <w:r w:rsidR="00A2083D" w:rsidRPr="00A15A5C">
        <w:rPr>
          <w:rFonts w:ascii="Arial" w:hAnsi="Arial" w:cs="Arial"/>
          <w:sz w:val="24"/>
          <w:szCs w:val="24"/>
        </w:rPr>
        <w:t>Mezzogiorno</w:t>
      </w:r>
      <w:r w:rsidRPr="00A15A5C">
        <w:rPr>
          <w:rFonts w:ascii="Arial" w:hAnsi="Arial" w:cs="Arial"/>
          <w:sz w:val="24"/>
          <w:szCs w:val="24"/>
        </w:rPr>
        <w:t xml:space="preserve"> (103,9 milioni di euro). </w:t>
      </w:r>
      <w:r w:rsidR="00C3132C" w:rsidRPr="00A15A5C">
        <w:rPr>
          <w:rFonts w:ascii="Arial" w:hAnsi="Arial" w:cs="Arial"/>
          <w:sz w:val="24"/>
          <w:szCs w:val="24"/>
        </w:rPr>
        <w:t xml:space="preserve">In queste regioni </w:t>
      </w:r>
      <w:r w:rsidR="00636ED8" w:rsidRPr="00A15A5C">
        <w:rPr>
          <w:rFonts w:ascii="Arial" w:hAnsi="Arial" w:cs="Arial"/>
          <w:sz w:val="24"/>
          <w:szCs w:val="24"/>
        </w:rPr>
        <w:t>il costo legato alla mobilità passiva rispetto al totale sostenuto dai Sistemi Sanitari Regionali</w:t>
      </w:r>
      <w:r w:rsidRPr="00A15A5C">
        <w:rPr>
          <w:rFonts w:ascii="Arial" w:hAnsi="Arial" w:cs="Arial"/>
          <w:sz w:val="24"/>
          <w:szCs w:val="24"/>
        </w:rPr>
        <w:t xml:space="preserve"> è </w:t>
      </w:r>
      <w:r w:rsidR="00A2083D" w:rsidRPr="00A15A5C">
        <w:rPr>
          <w:rFonts w:ascii="Arial" w:hAnsi="Arial" w:cs="Arial"/>
          <w:sz w:val="24"/>
          <w:szCs w:val="24"/>
        </w:rPr>
        <w:t xml:space="preserve">risultato </w:t>
      </w:r>
      <w:r w:rsidRPr="00A15A5C">
        <w:rPr>
          <w:rFonts w:ascii="Arial" w:hAnsi="Arial" w:cs="Arial"/>
          <w:sz w:val="24"/>
          <w:szCs w:val="24"/>
        </w:rPr>
        <w:t>pari al 15,1% del totale, quasi il doppio di quello del Centro-Nord (8,4%) (Tabella 2).</w:t>
      </w:r>
    </w:p>
    <w:p w14:paraId="677655CD" w14:textId="77777777" w:rsidR="00D72E4D" w:rsidRPr="00A15A5C" w:rsidRDefault="00D72E4D" w:rsidP="00BB71B1">
      <w:pPr>
        <w:spacing w:line="276" w:lineRule="auto"/>
        <w:jc w:val="both"/>
        <w:rPr>
          <w:rFonts w:ascii="Arial" w:hAnsi="Arial" w:cs="Arial"/>
          <w:sz w:val="24"/>
          <w:szCs w:val="24"/>
        </w:rPr>
      </w:pPr>
      <w:r w:rsidRPr="00A15A5C">
        <w:rPr>
          <w:rFonts w:ascii="Arial" w:hAnsi="Arial" w:cs="Arial"/>
          <w:sz w:val="24"/>
          <w:szCs w:val="24"/>
        </w:rPr>
        <w:t xml:space="preserve">Come </w:t>
      </w:r>
      <w:r w:rsidR="00A2083D" w:rsidRPr="00A15A5C">
        <w:rPr>
          <w:rFonts w:ascii="Arial" w:hAnsi="Arial" w:cs="Arial"/>
          <w:sz w:val="24"/>
          <w:szCs w:val="24"/>
        </w:rPr>
        <w:t xml:space="preserve">indicato </w:t>
      </w:r>
      <w:r w:rsidRPr="00A15A5C">
        <w:rPr>
          <w:rFonts w:ascii="Arial" w:hAnsi="Arial" w:cs="Arial"/>
          <w:sz w:val="24"/>
          <w:szCs w:val="24"/>
        </w:rPr>
        <w:t xml:space="preserve">nella tabella 3, analizzando i flussi tra regioni, si </w:t>
      </w:r>
      <w:r w:rsidR="00A2083D" w:rsidRPr="00A15A5C">
        <w:rPr>
          <w:rFonts w:ascii="Arial" w:hAnsi="Arial" w:cs="Arial"/>
          <w:sz w:val="24"/>
          <w:szCs w:val="24"/>
        </w:rPr>
        <w:t xml:space="preserve">sono </w:t>
      </w:r>
      <w:r w:rsidRPr="00A15A5C">
        <w:rPr>
          <w:rFonts w:ascii="Arial" w:hAnsi="Arial" w:cs="Arial"/>
          <w:sz w:val="24"/>
          <w:szCs w:val="24"/>
        </w:rPr>
        <w:t>osserva</w:t>
      </w:r>
      <w:r w:rsidR="00A2083D" w:rsidRPr="00A15A5C">
        <w:rPr>
          <w:rFonts w:ascii="Arial" w:hAnsi="Arial" w:cs="Arial"/>
          <w:sz w:val="24"/>
          <w:szCs w:val="24"/>
        </w:rPr>
        <w:t>te</w:t>
      </w:r>
      <w:r w:rsidRPr="00A15A5C">
        <w:rPr>
          <w:rFonts w:ascii="Arial" w:hAnsi="Arial" w:cs="Arial"/>
          <w:sz w:val="24"/>
          <w:szCs w:val="24"/>
        </w:rPr>
        <w:t xml:space="preserve"> importanti differenze. Nel Centro-Nord, infatti, 43.441 ricoveri sono stati effettuati fuori dalla regione di </w:t>
      </w:r>
      <w:r w:rsidRPr="00A15A5C">
        <w:rPr>
          <w:rFonts w:ascii="Arial" w:hAnsi="Arial" w:cs="Arial"/>
          <w:sz w:val="24"/>
          <w:szCs w:val="24"/>
        </w:rPr>
        <w:lastRenderedPageBreak/>
        <w:t xml:space="preserve">residenza (6,9% del totale). Di questi, 37.884 (87,2%) </w:t>
      </w:r>
      <w:r w:rsidR="001B4139" w:rsidRPr="00A15A5C">
        <w:rPr>
          <w:rFonts w:ascii="Arial" w:hAnsi="Arial" w:cs="Arial"/>
          <w:sz w:val="24"/>
          <w:szCs w:val="24"/>
        </w:rPr>
        <w:t xml:space="preserve">si sono avuti </w:t>
      </w:r>
      <w:r w:rsidRPr="00A15A5C">
        <w:rPr>
          <w:rFonts w:ascii="Arial" w:hAnsi="Arial" w:cs="Arial"/>
          <w:sz w:val="24"/>
          <w:szCs w:val="24"/>
        </w:rPr>
        <w:t xml:space="preserve">in altre regioni del Centro-Nord, mentre 5.557 (12,8%) sono </w:t>
      </w:r>
      <w:r w:rsidR="001B4139" w:rsidRPr="00A15A5C">
        <w:rPr>
          <w:rFonts w:ascii="Arial" w:hAnsi="Arial" w:cs="Arial"/>
          <w:sz w:val="24"/>
          <w:szCs w:val="24"/>
        </w:rPr>
        <w:t xml:space="preserve">avvenuti </w:t>
      </w:r>
      <w:r w:rsidRPr="00A15A5C">
        <w:rPr>
          <w:rFonts w:ascii="Arial" w:hAnsi="Arial" w:cs="Arial"/>
          <w:sz w:val="24"/>
          <w:szCs w:val="24"/>
        </w:rPr>
        <w:t xml:space="preserve">nelle regioni del </w:t>
      </w:r>
      <w:r w:rsidR="001B4139" w:rsidRPr="00A15A5C">
        <w:rPr>
          <w:rFonts w:ascii="Arial" w:hAnsi="Arial" w:cs="Arial"/>
          <w:sz w:val="24"/>
          <w:szCs w:val="24"/>
        </w:rPr>
        <w:t>Mezzogiorno.</w:t>
      </w:r>
      <w:r w:rsidRPr="00A15A5C">
        <w:rPr>
          <w:rFonts w:ascii="Arial" w:hAnsi="Arial" w:cs="Arial"/>
          <w:sz w:val="24"/>
          <w:szCs w:val="24"/>
        </w:rPr>
        <w:t xml:space="preserve"> Questa mobilità corrisponde ad una spesa di 89,7 milioni di euro, di cui 80,7 milioni (90%) riguarda la mobilità verso il Centro-Nord.</w:t>
      </w:r>
    </w:p>
    <w:p w14:paraId="41C69328" w14:textId="7477E273" w:rsidR="00D72E4D" w:rsidRPr="00A15A5C" w:rsidRDefault="00D72E4D" w:rsidP="00BB71B1">
      <w:pPr>
        <w:spacing w:line="276" w:lineRule="auto"/>
        <w:jc w:val="both"/>
        <w:rPr>
          <w:rFonts w:ascii="Arial" w:hAnsi="Arial" w:cs="Arial"/>
          <w:sz w:val="24"/>
          <w:szCs w:val="24"/>
        </w:rPr>
      </w:pPr>
      <w:r w:rsidRPr="00A15A5C">
        <w:rPr>
          <w:rFonts w:ascii="Arial" w:hAnsi="Arial" w:cs="Arial"/>
          <w:sz w:val="24"/>
          <w:szCs w:val="24"/>
        </w:rPr>
        <w:t xml:space="preserve">Al contrario, nelle regioni del </w:t>
      </w:r>
      <w:r w:rsidR="00A2083D" w:rsidRPr="00A15A5C">
        <w:rPr>
          <w:rFonts w:ascii="Arial" w:hAnsi="Arial" w:cs="Arial"/>
          <w:sz w:val="24"/>
          <w:szCs w:val="24"/>
        </w:rPr>
        <w:t>Mezzogiorno</w:t>
      </w:r>
      <w:r w:rsidRPr="00A15A5C">
        <w:rPr>
          <w:rFonts w:ascii="Arial" w:hAnsi="Arial" w:cs="Arial"/>
          <w:sz w:val="24"/>
          <w:szCs w:val="24"/>
        </w:rPr>
        <w:t xml:space="preserve"> ci sono stati 44.972 ricoveri fuori regione (un valore quasi doppio rispetto al Centro-Nord, e pari all'11,9% del totale), di cui 38.462 (85,5%) sono </w:t>
      </w:r>
      <w:r w:rsidR="00A2083D" w:rsidRPr="00A15A5C">
        <w:rPr>
          <w:rFonts w:ascii="Arial" w:hAnsi="Arial" w:cs="Arial"/>
          <w:sz w:val="24"/>
          <w:szCs w:val="24"/>
        </w:rPr>
        <w:t xml:space="preserve">stati </w:t>
      </w:r>
      <w:r w:rsidRPr="00A15A5C">
        <w:rPr>
          <w:rFonts w:ascii="Arial" w:hAnsi="Arial" w:cs="Arial"/>
          <w:sz w:val="24"/>
          <w:szCs w:val="24"/>
        </w:rPr>
        <w:t xml:space="preserve">effettuati </w:t>
      </w:r>
      <w:r w:rsidR="00A2083D" w:rsidRPr="00A15A5C">
        <w:rPr>
          <w:rFonts w:ascii="Arial" w:hAnsi="Arial" w:cs="Arial"/>
          <w:sz w:val="24"/>
          <w:szCs w:val="24"/>
        </w:rPr>
        <w:t>verso</w:t>
      </w:r>
      <w:r w:rsidRPr="00A15A5C">
        <w:rPr>
          <w:rFonts w:ascii="Arial" w:hAnsi="Arial" w:cs="Arial"/>
          <w:sz w:val="24"/>
          <w:szCs w:val="24"/>
        </w:rPr>
        <w:t xml:space="preserve"> regioni del Centro-Nord. Solo il 14,5% </w:t>
      </w:r>
      <w:r w:rsidR="001B4139" w:rsidRPr="00A15A5C">
        <w:rPr>
          <w:rFonts w:ascii="Arial" w:hAnsi="Arial" w:cs="Arial"/>
          <w:sz w:val="24"/>
          <w:szCs w:val="24"/>
        </w:rPr>
        <w:t xml:space="preserve">è avvenuto </w:t>
      </w:r>
      <w:r w:rsidRPr="00A15A5C">
        <w:rPr>
          <w:rFonts w:ascii="Arial" w:hAnsi="Arial" w:cs="Arial"/>
          <w:sz w:val="24"/>
          <w:szCs w:val="24"/>
        </w:rPr>
        <w:t xml:space="preserve">in altre regioni del </w:t>
      </w:r>
      <w:r w:rsidR="001B4139" w:rsidRPr="00A15A5C">
        <w:rPr>
          <w:rFonts w:ascii="Arial" w:hAnsi="Arial" w:cs="Arial"/>
          <w:sz w:val="24"/>
          <w:szCs w:val="24"/>
        </w:rPr>
        <w:t>Mezzogiorno</w:t>
      </w:r>
      <w:r w:rsidRPr="00A15A5C">
        <w:rPr>
          <w:rFonts w:ascii="Arial" w:hAnsi="Arial" w:cs="Arial"/>
          <w:sz w:val="24"/>
          <w:szCs w:val="24"/>
        </w:rPr>
        <w:t xml:space="preserve"> (</w:t>
      </w:r>
      <w:r w:rsidR="005C61F0" w:rsidRPr="00A15A5C">
        <w:rPr>
          <w:rFonts w:ascii="Arial" w:hAnsi="Arial" w:cs="Arial"/>
          <w:sz w:val="24"/>
          <w:szCs w:val="24"/>
        </w:rPr>
        <w:t>T</w:t>
      </w:r>
      <w:r w:rsidRPr="00A15A5C">
        <w:rPr>
          <w:rFonts w:ascii="Arial" w:hAnsi="Arial" w:cs="Arial"/>
          <w:sz w:val="24"/>
          <w:szCs w:val="24"/>
        </w:rPr>
        <w:t>abella 3). Questa mobilità corrisponde a una spesa totale di 103,9 milioni di euro, di cui l'87,1% (90,5 milioni di euro) riguarda la mobilità verso il Centro-Nord.</w:t>
      </w:r>
    </w:p>
    <w:p w14:paraId="7A083EC5" w14:textId="77777777" w:rsidR="00D72E4D" w:rsidRPr="00A15A5C" w:rsidRDefault="00D72E4D" w:rsidP="00BB71B1">
      <w:pPr>
        <w:spacing w:line="276" w:lineRule="auto"/>
        <w:jc w:val="both"/>
        <w:rPr>
          <w:rFonts w:ascii="Arial" w:hAnsi="Arial" w:cs="Arial"/>
          <w:sz w:val="24"/>
          <w:szCs w:val="24"/>
        </w:rPr>
      </w:pPr>
      <w:r w:rsidRPr="00A15A5C">
        <w:rPr>
          <w:rFonts w:ascii="Arial" w:hAnsi="Arial" w:cs="Arial"/>
          <w:sz w:val="24"/>
          <w:szCs w:val="24"/>
        </w:rPr>
        <w:t xml:space="preserve">Il fenomeno è ancora </w:t>
      </w:r>
      <w:r w:rsidR="001B4139" w:rsidRPr="00A15A5C">
        <w:rPr>
          <w:rFonts w:ascii="Arial" w:hAnsi="Arial" w:cs="Arial"/>
          <w:sz w:val="24"/>
          <w:szCs w:val="24"/>
        </w:rPr>
        <w:t xml:space="preserve">maggiore </w:t>
      </w:r>
      <w:r w:rsidRPr="00A15A5C">
        <w:rPr>
          <w:rFonts w:ascii="Arial" w:hAnsi="Arial" w:cs="Arial"/>
          <w:sz w:val="24"/>
          <w:szCs w:val="24"/>
        </w:rPr>
        <w:t xml:space="preserve">considerando i ricoveri ad "alta complessità" (Tabella 4). Su 16.673 ricoveri nel Centro-Nord, infatti, 1.758 (10,5%) </w:t>
      </w:r>
      <w:r w:rsidR="001B4139" w:rsidRPr="00A15A5C">
        <w:rPr>
          <w:rFonts w:ascii="Arial" w:hAnsi="Arial" w:cs="Arial"/>
          <w:sz w:val="24"/>
          <w:szCs w:val="24"/>
        </w:rPr>
        <w:t xml:space="preserve">sono avvenuti </w:t>
      </w:r>
      <w:r w:rsidRPr="00A15A5C">
        <w:rPr>
          <w:rFonts w:ascii="Arial" w:hAnsi="Arial" w:cs="Arial"/>
          <w:sz w:val="24"/>
          <w:szCs w:val="24"/>
        </w:rPr>
        <w:t xml:space="preserve">in altre regioni. Di questi, 1.673 (95,2%) sono </w:t>
      </w:r>
      <w:r w:rsidR="001B4139" w:rsidRPr="00A15A5C">
        <w:rPr>
          <w:rFonts w:ascii="Arial" w:hAnsi="Arial" w:cs="Arial"/>
          <w:sz w:val="24"/>
          <w:szCs w:val="24"/>
        </w:rPr>
        <w:t xml:space="preserve">stati </w:t>
      </w:r>
      <w:r w:rsidRPr="00A15A5C">
        <w:rPr>
          <w:rFonts w:ascii="Arial" w:hAnsi="Arial" w:cs="Arial"/>
          <w:sz w:val="24"/>
          <w:szCs w:val="24"/>
        </w:rPr>
        <w:t xml:space="preserve">effettuati in altre regioni del Centro-Nord, mentre 85 (4,8%) sono </w:t>
      </w:r>
      <w:r w:rsidR="001B4139" w:rsidRPr="00A15A5C">
        <w:rPr>
          <w:rFonts w:ascii="Arial" w:hAnsi="Arial" w:cs="Arial"/>
          <w:sz w:val="24"/>
          <w:szCs w:val="24"/>
        </w:rPr>
        <w:t xml:space="preserve">avvenuti </w:t>
      </w:r>
      <w:r w:rsidRPr="00A15A5C">
        <w:rPr>
          <w:rFonts w:ascii="Arial" w:hAnsi="Arial" w:cs="Arial"/>
          <w:sz w:val="24"/>
          <w:szCs w:val="24"/>
        </w:rPr>
        <w:t xml:space="preserve">in regioni del </w:t>
      </w:r>
      <w:r w:rsidR="001B4139" w:rsidRPr="00A15A5C">
        <w:rPr>
          <w:rFonts w:ascii="Arial" w:hAnsi="Arial" w:cs="Arial"/>
          <w:sz w:val="24"/>
          <w:szCs w:val="24"/>
        </w:rPr>
        <w:t>Mezzogiorno</w:t>
      </w:r>
      <w:r w:rsidRPr="00A15A5C">
        <w:rPr>
          <w:rFonts w:ascii="Arial" w:hAnsi="Arial" w:cs="Arial"/>
          <w:sz w:val="24"/>
          <w:szCs w:val="24"/>
        </w:rPr>
        <w:t>. Questa mobilità corrisponde ad una spesa totale di 29,5 milioni di euro, di cui il 93,6% riguarda la mobilità verso altre regioni del Centro-Nord.</w:t>
      </w:r>
    </w:p>
    <w:p w14:paraId="295CF238" w14:textId="77777777" w:rsidR="00D72E4D" w:rsidRPr="00A15A5C" w:rsidRDefault="00D72E4D" w:rsidP="00BB71B1">
      <w:pPr>
        <w:spacing w:line="276" w:lineRule="auto"/>
        <w:jc w:val="both"/>
        <w:rPr>
          <w:rFonts w:ascii="Arial" w:hAnsi="Arial" w:cs="Arial"/>
          <w:sz w:val="24"/>
          <w:szCs w:val="24"/>
        </w:rPr>
      </w:pPr>
      <w:r w:rsidRPr="00A15A5C">
        <w:rPr>
          <w:rFonts w:ascii="Arial" w:hAnsi="Arial" w:cs="Arial"/>
          <w:sz w:val="24"/>
          <w:szCs w:val="24"/>
        </w:rPr>
        <w:t xml:space="preserve">Al contrario, nelle regioni del </w:t>
      </w:r>
      <w:r w:rsidR="001B4139" w:rsidRPr="00A15A5C">
        <w:rPr>
          <w:rFonts w:ascii="Arial" w:hAnsi="Arial" w:cs="Arial"/>
          <w:sz w:val="24"/>
          <w:szCs w:val="24"/>
        </w:rPr>
        <w:t>Mezzogiorno s</w:t>
      </w:r>
      <w:r w:rsidRPr="00A15A5C">
        <w:rPr>
          <w:rFonts w:ascii="Arial" w:hAnsi="Arial" w:cs="Arial"/>
          <w:sz w:val="24"/>
          <w:szCs w:val="24"/>
        </w:rPr>
        <w:t xml:space="preserve">u 9.978 ricoveri di alta complessità, 2.127 (21,3%) sono effettuati in altre regioni (più del doppio del Centro-Nord). Di questi, 1.867 (87,8%) sono </w:t>
      </w:r>
      <w:r w:rsidR="001B4139" w:rsidRPr="00A15A5C">
        <w:rPr>
          <w:rFonts w:ascii="Arial" w:hAnsi="Arial" w:cs="Arial"/>
          <w:sz w:val="24"/>
          <w:szCs w:val="24"/>
        </w:rPr>
        <w:t xml:space="preserve">stati </w:t>
      </w:r>
      <w:r w:rsidRPr="00A15A5C">
        <w:rPr>
          <w:rFonts w:ascii="Arial" w:hAnsi="Arial" w:cs="Arial"/>
          <w:sz w:val="24"/>
          <w:szCs w:val="24"/>
        </w:rPr>
        <w:t>effettuati nelle regioni del Centro-Nord. Questo dato corrisponde a una mobilitazione di risorse verso le regioni del Centro-Nord pari a 32,3 milioni di euro, su un costo totale per ricoveri ad alta complessità di 186 milioni di euro (17,4%).</w:t>
      </w:r>
    </w:p>
    <w:p w14:paraId="6DC5227C" w14:textId="77777777" w:rsidR="00793912" w:rsidRPr="00A15A5C" w:rsidRDefault="00793912" w:rsidP="00BB71B1">
      <w:pPr>
        <w:spacing w:line="276" w:lineRule="auto"/>
        <w:jc w:val="both"/>
        <w:rPr>
          <w:rFonts w:ascii="Arial" w:eastAsia="Arial" w:hAnsi="Arial" w:cs="Arial"/>
          <w:b/>
          <w:sz w:val="24"/>
          <w:szCs w:val="24"/>
        </w:rPr>
      </w:pPr>
      <w:r w:rsidRPr="00A15A5C">
        <w:rPr>
          <w:rFonts w:ascii="Arial" w:eastAsia="Arial" w:hAnsi="Arial" w:cs="Arial"/>
          <w:b/>
          <w:sz w:val="24"/>
          <w:szCs w:val="24"/>
        </w:rPr>
        <w:t>Discussione</w:t>
      </w:r>
    </w:p>
    <w:p w14:paraId="3A030A24" w14:textId="7CA67F11" w:rsidR="00D329A1" w:rsidRPr="00A15A5C" w:rsidRDefault="00D329A1" w:rsidP="00D329A1">
      <w:pPr>
        <w:spacing w:after="0" w:line="276" w:lineRule="auto"/>
        <w:jc w:val="both"/>
        <w:rPr>
          <w:rFonts w:ascii="Arial" w:eastAsia="Arial" w:hAnsi="Arial" w:cs="Arial"/>
          <w:sz w:val="24"/>
          <w:szCs w:val="24"/>
        </w:rPr>
      </w:pPr>
      <w:r w:rsidRPr="00A15A5C">
        <w:rPr>
          <w:rFonts w:ascii="Arial" w:eastAsia="Arial" w:hAnsi="Arial" w:cs="Arial"/>
          <w:sz w:val="24"/>
          <w:szCs w:val="24"/>
        </w:rPr>
        <w:t>In Italia il Servizio Sanitario Nazionale (SSN) garantisce l’assistenza ai cittadini iscritti presso le aziende sanitarie locali della propria Regione di residenza. Il cittadino può tuttavia esercitare il diritto di essere assistito anche in strutture sanitarie di altre Regioni</w:t>
      </w:r>
      <w:r w:rsidR="00F84A54" w:rsidRPr="00A15A5C">
        <w:rPr>
          <w:rFonts w:ascii="Arial" w:eastAsia="Arial" w:hAnsi="Arial" w:cs="Arial"/>
          <w:sz w:val="24"/>
          <w:szCs w:val="24"/>
        </w:rPr>
        <w:t>.</w:t>
      </w:r>
    </w:p>
    <w:p w14:paraId="6637E6CB" w14:textId="49CCD60F" w:rsidR="00D329A1" w:rsidRPr="00A15A5C" w:rsidRDefault="00D329A1" w:rsidP="00D329A1">
      <w:pPr>
        <w:spacing w:after="0" w:line="276" w:lineRule="auto"/>
        <w:jc w:val="both"/>
        <w:rPr>
          <w:rFonts w:ascii="Arial" w:eastAsia="Arial" w:hAnsi="Arial" w:cs="Arial"/>
          <w:sz w:val="24"/>
          <w:szCs w:val="24"/>
        </w:rPr>
      </w:pPr>
      <w:r w:rsidRPr="00A15A5C">
        <w:rPr>
          <w:rFonts w:ascii="Arial" w:eastAsia="Arial" w:hAnsi="Arial" w:cs="Arial"/>
          <w:sz w:val="24"/>
          <w:szCs w:val="24"/>
        </w:rPr>
        <w:t xml:space="preserve">Il valore economico della mobilità sanitaria interregionale nel 2018 (tutti i flussi: ricoveri, specialistica ambulatoriale, medicina di base, farmaceutica territoriale e somministrazione diretta farmaci, assistenza termale e trasporti sanitari) è risultata pari a </w:t>
      </w:r>
      <w:r w:rsidR="00636ED8" w:rsidRPr="00A15A5C">
        <w:rPr>
          <w:rFonts w:ascii="Arial" w:eastAsia="Arial" w:hAnsi="Arial" w:cs="Arial"/>
          <w:sz w:val="24"/>
          <w:szCs w:val="24"/>
        </w:rPr>
        <w:t>circa</w:t>
      </w:r>
      <w:r w:rsidRPr="00A15A5C">
        <w:rPr>
          <w:rFonts w:ascii="Arial" w:eastAsia="Arial" w:hAnsi="Arial" w:cs="Arial"/>
          <w:sz w:val="24"/>
          <w:szCs w:val="24"/>
        </w:rPr>
        <w:t xml:space="preserve"> 4,6 miliardi di euro e pur essendo una percentuale contenuta (4,1%) della spesa sanitaria totale (</w:t>
      </w:r>
      <w:r w:rsidR="00636ED8" w:rsidRPr="00A15A5C">
        <w:rPr>
          <w:rFonts w:ascii="Arial" w:eastAsia="Arial" w:hAnsi="Arial" w:cs="Arial"/>
          <w:sz w:val="24"/>
          <w:szCs w:val="24"/>
        </w:rPr>
        <w:t>circa</w:t>
      </w:r>
      <w:r w:rsidRPr="00A15A5C">
        <w:rPr>
          <w:rFonts w:ascii="Arial" w:eastAsia="Arial" w:hAnsi="Arial" w:cs="Arial"/>
          <w:sz w:val="24"/>
          <w:szCs w:val="24"/>
        </w:rPr>
        <w:t xml:space="preserve"> 113 miliardi di euro), assume una particolare rilevanza per l’impatto sull’equilibrio finanziario di alcune Regioni, sia in saldo positivo (regioni con saldo &gt; 100 mln</w:t>
      </w:r>
      <w:r w:rsidR="00AA5363" w:rsidRPr="00A15A5C">
        <w:rPr>
          <w:rFonts w:ascii="Arial" w:eastAsia="Arial" w:hAnsi="Arial" w:cs="Arial"/>
          <w:sz w:val="24"/>
          <w:szCs w:val="24"/>
        </w:rPr>
        <w:t xml:space="preserve"> </w:t>
      </w:r>
      <w:r w:rsidRPr="00A15A5C">
        <w:rPr>
          <w:rFonts w:ascii="Arial" w:eastAsia="Arial" w:hAnsi="Arial" w:cs="Arial"/>
          <w:sz w:val="24"/>
          <w:szCs w:val="24"/>
        </w:rPr>
        <w:t>€: Lombardia +</w:t>
      </w:r>
      <w:r w:rsidR="00AA5363" w:rsidRPr="00A15A5C">
        <w:rPr>
          <w:rFonts w:ascii="Arial" w:eastAsia="Arial" w:hAnsi="Arial" w:cs="Arial"/>
          <w:sz w:val="24"/>
          <w:szCs w:val="24"/>
        </w:rPr>
        <w:t xml:space="preserve"> </w:t>
      </w:r>
      <w:r w:rsidRPr="00A15A5C">
        <w:rPr>
          <w:rFonts w:ascii="Arial" w:eastAsia="Arial" w:hAnsi="Arial" w:cs="Arial"/>
          <w:sz w:val="24"/>
          <w:szCs w:val="24"/>
        </w:rPr>
        <w:t>750 mln</w:t>
      </w:r>
      <w:r w:rsidR="00AA5363" w:rsidRPr="00A15A5C">
        <w:rPr>
          <w:rFonts w:ascii="Arial" w:eastAsia="Arial" w:hAnsi="Arial" w:cs="Arial"/>
          <w:sz w:val="24"/>
          <w:szCs w:val="24"/>
        </w:rPr>
        <w:t xml:space="preserve"> </w:t>
      </w:r>
      <w:r w:rsidRPr="00A15A5C">
        <w:rPr>
          <w:rFonts w:ascii="Arial" w:eastAsia="Arial" w:hAnsi="Arial" w:cs="Arial"/>
          <w:sz w:val="24"/>
          <w:szCs w:val="24"/>
        </w:rPr>
        <w:t>€, Emilia Romagna +</w:t>
      </w:r>
      <w:r w:rsidR="00AA5363" w:rsidRPr="00A15A5C">
        <w:rPr>
          <w:rFonts w:ascii="Arial" w:eastAsia="Arial" w:hAnsi="Arial" w:cs="Arial"/>
          <w:sz w:val="24"/>
          <w:szCs w:val="24"/>
        </w:rPr>
        <w:t xml:space="preserve"> </w:t>
      </w:r>
      <w:r w:rsidRPr="00A15A5C">
        <w:rPr>
          <w:rFonts w:ascii="Arial" w:eastAsia="Arial" w:hAnsi="Arial" w:cs="Arial"/>
          <w:sz w:val="24"/>
          <w:szCs w:val="24"/>
        </w:rPr>
        <w:t>327 mln</w:t>
      </w:r>
      <w:r w:rsidR="00AA5363" w:rsidRPr="00A15A5C">
        <w:rPr>
          <w:rFonts w:ascii="Arial" w:eastAsia="Arial" w:hAnsi="Arial" w:cs="Arial"/>
          <w:sz w:val="24"/>
          <w:szCs w:val="24"/>
        </w:rPr>
        <w:t xml:space="preserve"> </w:t>
      </w:r>
      <w:r w:rsidRPr="00A15A5C">
        <w:rPr>
          <w:rFonts w:ascii="Arial" w:eastAsia="Arial" w:hAnsi="Arial" w:cs="Arial"/>
          <w:sz w:val="24"/>
          <w:szCs w:val="24"/>
        </w:rPr>
        <w:t>€, Toscana +</w:t>
      </w:r>
      <w:r w:rsidR="00AA5363" w:rsidRPr="00A15A5C">
        <w:rPr>
          <w:rFonts w:ascii="Arial" w:eastAsia="Arial" w:hAnsi="Arial" w:cs="Arial"/>
          <w:sz w:val="24"/>
          <w:szCs w:val="24"/>
        </w:rPr>
        <w:t xml:space="preserve"> </w:t>
      </w:r>
      <w:r w:rsidRPr="00A15A5C">
        <w:rPr>
          <w:rFonts w:ascii="Arial" w:eastAsia="Arial" w:hAnsi="Arial" w:cs="Arial"/>
          <w:sz w:val="24"/>
          <w:szCs w:val="24"/>
        </w:rPr>
        <w:t>144 mln</w:t>
      </w:r>
      <w:r w:rsidR="00AA5363" w:rsidRPr="00A15A5C">
        <w:rPr>
          <w:rFonts w:ascii="Arial" w:eastAsia="Arial" w:hAnsi="Arial" w:cs="Arial"/>
          <w:sz w:val="24"/>
          <w:szCs w:val="24"/>
        </w:rPr>
        <w:t xml:space="preserve"> </w:t>
      </w:r>
      <w:r w:rsidRPr="00A15A5C">
        <w:rPr>
          <w:rFonts w:ascii="Arial" w:eastAsia="Arial" w:hAnsi="Arial" w:cs="Arial"/>
          <w:sz w:val="24"/>
          <w:szCs w:val="24"/>
        </w:rPr>
        <w:t>€, Veneto +</w:t>
      </w:r>
      <w:r w:rsidR="00AA5363" w:rsidRPr="00A15A5C">
        <w:rPr>
          <w:rFonts w:ascii="Arial" w:eastAsia="Arial" w:hAnsi="Arial" w:cs="Arial"/>
          <w:sz w:val="24"/>
          <w:szCs w:val="24"/>
        </w:rPr>
        <w:t xml:space="preserve"> </w:t>
      </w:r>
      <w:r w:rsidRPr="00A15A5C">
        <w:rPr>
          <w:rFonts w:ascii="Arial" w:eastAsia="Arial" w:hAnsi="Arial" w:cs="Arial"/>
          <w:sz w:val="24"/>
          <w:szCs w:val="24"/>
        </w:rPr>
        <w:t>139 mln</w:t>
      </w:r>
      <w:r w:rsidR="00AA5363" w:rsidRPr="00A15A5C">
        <w:rPr>
          <w:rFonts w:ascii="Arial" w:eastAsia="Arial" w:hAnsi="Arial" w:cs="Arial"/>
          <w:sz w:val="24"/>
          <w:szCs w:val="24"/>
        </w:rPr>
        <w:t xml:space="preserve"> </w:t>
      </w:r>
      <w:r w:rsidRPr="00A15A5C">
        <w:rPr>
          <w:rFonts w:ascii="Arial" w:eastAsia="Arial" w:hAnsi="Arial" w:cs="Arial"/>
          <w:sz w:val="24"/>
          <w:szCs w:val="24"/>
        </w:rPr>
        <w:t>€), sia in saldo negativo (regioni con saldo &lt; -</w:t>
      </w:r>
      <w:r w:rsidR="00AA5363" w:rsidRPr="00A15A5C">
        <w:rPr>
          <w:rFonts w:ascii="Arial" w:eastAsia="Arial" w:hAnsi="Arial" w:cs="Arial"/>
          <w:sz w:val="24"/>
          <w:szCs w:val="24"/>
        </w:rPr>
        <w:t xml:space="preserve"> </w:t>
      </w:r>
      <w:r w:rsidRPr="00A15A5C">
        <w:rPr>
          <w:rFonts w:ascii="Arial" w:eastAsia="Arial" w:hAnsi="Arial" w:cs="Arial"/>
          <w:sz w:val="24"/>
          <w:szCs w:val="24"/>
        </w:rPr>
        <w:t>200 mln</w:t>
      </w:r>
      <w:r w:rsidR="00AA5363" w:rsidRPr="00A15A5C">
        <w:rPr>
          <w:rFonts w:ascii="Arial" w:eastAsia="Arial" w:hAnsi="Arial" w:cs="Arial"/>
          <w:sz w:val="24"/>
          <w:szCs w:val="24"/>
        </w:rPr>
        <w:t xml:space="preserve"> </w:t>
      </w:r>
      <w:r w:rsidRPr="00A15A5C">
        <w:rPr>
          <w:rFonts w:ascii="Arial" w:eastAsia="Arial" w:hAnsi="Arial" w:cs="Arial"/>
          <w:sz w:val="24"/>
          <w:szCs w:val="24"/>
        </w:rPr>
        <w:t>€: Puglia -</w:t>
      </w:r>
      <w:r w:rsidR="00AA5363" w:rsidRPr="00A15A5C">
        <w:rPr>
          <w:rFonts w:ascii="Arial" w:eastAsia="Arial" w:hAnsi="Arial" w:cs="Arial"/>
          <w:sz w:val="24"/>
          <w:szCs w:val="24"/>
        </w:rPr>
        <w:t xml:space="preserve"> </w:t>
      </w:r>
      <w:r w:rsidRPr="00A15A5C">
        <w:rPr>
          <w:rFonts w:ascii="Arial" w:eastAsia="Arial" w:hAnsi="Arial" w:cs="Arial"/>
          <w:sz w:val="24"/>
          <w:szCs w:val="24"/>
        </w:rPr>
        <w:t>211 mln</w:t>
      </w:r>
      <w:r w:rsidR="00AA5363" w:rsidRPr="00A15A5C">
        <w:rPr>
          <w:rFonts w:ascii="Arial" w:eastAsia="Arial" w:hAnsi="Arial" w:cs="Arial"/>
          <w:sz w:val="24"/>
          <w:szCs w:val="24"/>
        </w:rPr>
        <w:t xml:space="preserve"> </w:t>
      </w:r>
      <w:r w:rsidRPr="00A15A5C">
        <w:rPr>
          <w:rFonts w:ascii="Arial" w:eastAsia="Arial" w:hAnsi="Arial" w:cs="Arial"/>
          <w:sz w:val="24"/>
          <w:szCs w:val="24"/>
        </w:rPr>
        <w:t>€, Sicilia -</w:t>
      </w:r>
      <w:r w:rsidR="00AA5363" w:rsidRPr="00A15A5C">
        <w:rPr>
          <w:rFonts w:ascii="Arial" w:eastAsia="Arial" w:hAnsi="Arial" w:cs="Arial"/>
          <w:sz w:val="24"/>
          <w:szCs w:val="24"/>
        </w:rPr>
        <w:t xml:space="preserve"> </w:t>
      </w:r>
      <w:r w:rsidRPr="00A15A5C">
        <w:rPr>
          <w:rFonts w:ascii="Arial" w:eastAsia="Arial" w:hAnsi="Arial" w:cs="Arial"/>
          <w:sz w:val="24"/>
          <w:szCs w:val="24"/>
        </w:rPr>
        <w:t>223 mln</w:t>
      </w:r>
      <w:r w:rsidR="00AA5363" w:rsidRPr="00A15A5C">
        <w:rPr>
          <w:rFonts w:ascii="Arial" w:eastAsia="Arial" w:hAnsi="Arial" w:cs="Arial"/>
          <w:sz w:val="24"/>
          <w:szCs w:val="24"/>
        </w:rPr>
        <w:t xml:space="preserve"> </w:t>
      </w:r>
      <w:r w:rsidRPr="00A15A5C">
        <w:rPr>
          <w:rFonts w:ascii="Arial" w:eastAsia="Arial" w:hAnsi="Arial" w:cs="Arial"/>
          <w:sz w:val="24"/>
          <w:szCs w:val="24"/>
        </w:rPr>
        <w:t>€, Calabria - 288 mln</w:t>
      </w:r>
      <w:r w:rsidR="00AA5363" w:rsidRPr="00A15A5C">
        <w:rPr>
          <w:rFonts w:ascii="Arial" w:eastAsia="Arial" w:hAnsi="Arial" w:cs="Arial"/>
          <w:sz w:val="24"/>
          <w:szCs w:val="24"/>
        </w:rPr>
        <w:t xml:space="preserve"> </w:t>
      </w:r>
      <w:r w:rsidRPr="00A15A5C">
        <w:rPr>
          <w:rFonts w:ascii="Arial" w:eastAsia="Arial" w:hAnsi="Arial" w:cs="Arial"/>
          <w:sz w:val="24"/>
          <w:szCs w:val="24"/>
        </w:rPr>
        <w:t>€, Campania -</w:t>
      </w:r>
      <w:r w:rsidR="00636ED8" w:rsidRPr="00A15A5C">
        <w:rPr>
          <w:rFonts w:ascii="Arial" w:eastAsia="Arial" w:hAnsi="Arial" w:cs="Arial"/>
          <w:sz w:val="24"/>
          <w:szCs w:val="24"/>
        </w:rPr>
        <w:t xml:space="preserve"> </w:t>
      </w:r>
      <w:r w:rsidRPr="00A15A5C">
        <w:rPr>
          <w:rFonts w:ascii="Arial" w:eastAsia="Arial" w:hAnsi="Arial" w:cs="Arial"/>
          <w:sz w:val="24"/>
          <w:szCs w:val="24"/>
        </w:rPr>
        <w:t>351 mln</w:t>
      </w:r>
      <w:r w:rsidR="00AA5363" w:rsidRPr="00A15A5C">
        <w:rPr>
          <w:rFonts w:ascii="Arial" w:eastAsia="Arial" w:hAnsi="Arial" w:cs="Arial"/>
          <w:sz w:val="24"/>
          <w:szCs w:val="24"/>
        </w:rPr>
        <w:t xml:space="preserve"> </w:t>
      </w:r>
      <w:r w:rsidRPr="00A15A5C">
        <w:rPr>
          <w:rFonts w:ascii="Arial" w:eastAsia="Arial" w:hAnsi="Arial" w:cs="Arial"/>
          <w:sz w:val="24"/>
          <w:szCs w:val="24"/>
        </w:rPr>
        <w:t>€) e per la dispersione di risorse pubbliche e private accreditate nelle Regioni caratterizzate da  un’offerta carente di servizi</w:t>
      </w:r>
      <w:r w:rsidR="00636ED8" w:rsidRPr="00A15A5C">
        <w:rPr>
          <w:rFonts w:ascii="Arial" w:eastAsia="Arial" w:hAnsi="Arial" w:cs="Arial"/>
          <w:sz w:val="24"/>
          <w:szCs w:val="24"/>
        </w:rPr>
        <w:t xml:space="preserve"> (2</w:t>
      </w:r>
      <w:r w:rsidRPr="00A15A5C">
        <w:rPr>
          <w:rFonts w:ascii="Arial" w:eastAsia="Arial" w:hAnsi="Arial" w:cs="Arial"/>
          <w:sz w:val="24"/>
          <w:szCs w:val="24"/>
        </w:rPr>
        <w:t>)</w:t>
      </w:r>
      <w:r w:rsidR="00636ED8" w:rsidRPr="00A15A5C">
        <w:rPr>
          <w:rFonts w:ascii="Arial" w:eastAsia="Arial" w:hAnsi="Arial" w:cs="Arial"/>
          <w:sz w:val="24"/>
          <w:szCs w:val="24"/>
        </w:rPr>
        <w:t>.</w:t>
      </w:r>
    </w:p>
    <w:p w14:paraId="4E362C51" w14:textId="3293577F" w:rsidR="00D329A1" w:rsidRPr="00A15A5C" w:rsidRDefault="00D329A1" w:rsidP="00636ED8">
      <w:pPr>
        <w:spacing w:after="0" w:line="276" w:lineRule="auto"/>
        <w:jc w:val="both"/>
        <w:rPr>
          <w:rFonts w:ascii="Arial" w:eastAsia="Arial" w:hAnsi="Arial" w:cs="Arial"/>
          <w:sz w:val="24"/>
          <w:szCs w:val="24"/>
        </w:rPr>
      </w:pPr>
      <w:r w:rsidRPr="00A15A5C">
        <w:rPr>
          <w:rFonts w:ascii="Arial" w:eastAsia="Arial" w:hAnsi="Arial" w:cs="Arial"/>
          <w:sz w:val="24"/>
          <w:szCs w:val="24"/>
        </w:rPr>
        <w:t>Mentre sono noti i dati relativi a tutta la popolazione, non è stata definita l’entità della migrazione sanitaria dei minori (attiva e passiva).</w:t>
      </w:r>
    </w:p>
    <w:p w14:paraId="4C9E6EAF" w14:textId="77777777" w:rsidR="00636ED8" w:rsidRPr="00A15A5C" w:rsidRDefault="00636ED8" w:rsidP="00636ED8">
      <w:pPr>
        <w:spacing w:after="0" w:line="276" w:lineRule="auto"/>
        <w:jc w:val="both"/>
        <w:rPr>
          <w:rFonts w:ascii="Arial" w:eastAsia="Arial" w:hAnsi="Arial" w:cs="Arial"/>
          <w:sz w:val="24"/>
          <w:szCs w:val="24"/>
        </w:rPr>
      </w:pPr>
    </w:p>
    <w:p w14:paraId="3EC8EE93" w14:textId="77777777" w:rsidR="00793912" w:rsidRPr="00A15A5C" w:rsidRDefault="00793912" w:rsidP="00BB71B1">
      <w:pPr>
        <w:spacing w:line="276" w:lineRule="auto"/>
        <w:jc w:val="both"/>
        <w:rPr>
          <w:rFonts w:ascii="Arial" w:eastAsia="Arial" w:hAnsi="Arial" w:cs="Arial"/>
          <w:sz w:val="24"/>
          <w:szCs w:val="24"/>
        </w:rPr>
      </w:pPr>
      <w:r w:rsidRPr="00A15A5C">
        <w:rPr>
          <w:rFonts w:ascii="Arial" w:eastAsia="Arial" w:hAnsi="Arial" w:cs="Arial"/>
          <w:sz w:val="24"/>
          <w:szCs w:val="24"/>
        </w:rPr>
        <w:t xml:space="preserve">La conoscenza del numero dei ricoveri dei minori nelle regioni italiane e della migrazione sanitaria dalla regione di residenza ad un’altra è un importante dato per valutare l’adeguatezza del servizio sanitario regionale e una corretta programmazione sanitaria </w:t>
      </w:r>
    </w:p>
    <w:p w14:paraId="3D755D3C" w14:textId="30F29ABB" w:rsidR="00793912" w:rsidRPr="00A15A5C" w:rsidRDefault="00793912" w:rsidP="00BB71B1">
      <w:pPr>
        <w:spacing w:line="276" w:lineRule="auto"/>
        <w:jc w:val="both"/>
        <w:rPr>
          <w:rFonts w:ascii="Arial" w:eastAsia="Arial" w:hAnsi="Arial" w:cs="Arial"/>
          <w:sz w:val="24"/>
          <w:szCs w:val="24"/>
        </w:rPr>
      </w:pPr>
      <w:r w:rsidRPr="00A15A5C">
        <w:rPr>
          <w:rFonts w:ascii="Arial" w:eastAsia="Arial" w:hAnsi="Arial" w:cs="Arial"/>
          <w:sz w:val="24"/>
          <w:szCs w:val="24"/>
        </w:rPr>
        <w:t xml:space="preserve">Questo studio originale, che per la prima volta valuta in Italia la mobilità attiva e passiva nei bambini e ragazzi con età </w:t>
      </w:r>
      <w:r w:rsidRPr="00A15A5C">
        <w:rPr>
          <w:rFonts w:ascii="Arial" w:hAnsi="Arial" w:cs="Arial"/>
          <w:sz w:val="24"/>
          <w:szCs w:val="24"/>
        </w:rPr>
        <w:t>≤ 14 anni di età</w:t>
      </w:r>
      <w:r w:rsidRPr="00A15A5C">
        <w:rPr>
          <w:rFonts w:ascii="Arial" w:eastAsia="Arial" w:hAnsi="Arial" w:cs="Arial"/>
          <w:sz w:val="24"/>
          <w:szCs w:val="24"/>
        </w:rPr>
        <w:t xml:space="preserve"> tra le varie regioni italiane, conferma la critica situazione dell’assistenza pediatrica in alcune regioni e soprattutto nel </w:t>
      </w:r>
      <w:r w:rsidR="00BB71B1" w:rsidRPr="00A15A5C">
        <w:rPr>
          <w:rFonts w:ascii="Arial" w:eastAsia="Arial" w:hAnsi="Arial" w:cs="Arial"/>
          <w:sz w:val="24"/>
          <w:szCs w:val="24"/>
        </w:rPr>
        <w:t>M</w:t>
      </w:r>
      <w:r w:rsidRPr="00A15A5C">
        <w:rPr>
          <w:rFonts w:ascii="Arial" w:eastAsia="Arial" w:hAnsi="Arial" w:cs="Arial"/>
          <w:sz w:val="24"/>
          <w:szCs w:val="24"/>
        </w:rPr>
        <w:t>ezzogiorno.</w:t>
      </w:r>
    </w:p>
    <w:p w14:paraId="5A86ACD9" w14:textId="49B0F6FA" w:rsidR="00793912" w:rsidRPr="00A15A5C" w:rsidRDefault="00793912" w:rsidP="00BB71B1">
      <w:pPr>
        <w:spacing w:line="276" w:lineRule="auto"/>
        <w:jc w:val="both"/>
        <w:rPr>
          <w:rFonts w:ascii="Arial" w:eastAsia="Arial" w:hAnsi="Arial" w:cs="Arial"/>
          <w:sz w:val="24"/>
          <w:szCs w:val="24"/>
        </w:rPr>
      </w:pPr>
      <w:r w:rsidRPr="00A15A5C">
        <w:rPr>
          <w:rFonts w:ascii="Arial" w:eastAsia="Arial" w:hAnsi="Arial" w:cs="Arial"/>
          <w:sz w:val="24"/>
          <w:szCs w:val="24"/>
        </w:rPr>
        <w:lastRenderedPageBreak/>
        <w:t xml:space="preserve">I bambini e ragazzi residenti nel </w:t>
      </w:r>
      <w:r w:rsidR="00BB71B1" w:rsidRPr="00A15A5C">
        <w:rPr>
          <w:rFonts w:ascii="Arial" w:eastAsia="Arial" w:hAnsi="Arial" w:cs="Arial"/>
          <w:sz w:val="24"/>
          <w:szCs w:val="24"/>
        </w:rPr>
        <w:t>M</w:t>
      </w:r>
      <w:r w:rsidRPr="00A15A5C">
        <w:rPr>
          <w:rFonts w:ascii="Arial" w:eastAsia="Arial" w:hAnsi="Arial" w:cs="Arial"/>
          <w:sz w:val="24"/>
          <w:szCs w:val="24"/>
        </w:rPr>
        <w:t>ezzogiorno rispetto a quelli residenti nel centro nord si ricoverano più frequentemente in ospedale</w:t>
      </w:r>
      <w:r w:rsidR="00536104" w:rsidRPr="00A15A5C">
        <w:rPr>
          <w:rFonts w:ascii="Arial" w:eastAsia="Arial" w:hAnsi="Arial" w:cs="Arial"/>
          <w:sz w:val="24"/>
          <w:szCs w:val="24"/>
        </w:rPr>
        <w:t xml:space="preserve"> e</w:t>
      </w:r>
      <w:r w:rsidRPr="00A15A5C">
        <w:rPr>
          <w:rFonts w:ascii="Arial" w:eastAsia="Arial" w:hAnsi="Arial" w:cs="Arial"/>
          <w:sz w:val="24"/>
          <w:szCs w:val="24"/>
        </w:rPr>
        <w:t xml:space="preserve"> si trasferiscono più frequentemente in altre regioni per curarsi. L’entità di questo trasferimento verso le strutture del </w:t>
      </w:r>
      <w:r w:rsidR="00636ED8" w:rsidRPr="00A15A5C">
        <w:rPr>
          <w:rFonts w:ascii="Arial" w:eastAsia="Arial" w:hAnsi="Arial" w:cs="Arial"/>
          <w:sz w:val="24"/>
          <w:szCs w:val="24"/>
        </w:rPr>
        <w:t>C</w:t>
      </w:r>
      <w:r w:rsidRPr="00A15A5C">
        <w:rPr>
          <w:rFonts w:ascii="Arial" w:eastAsia="Arial" w:hAnsi="Arial" w:cs="Arial"/>
          <w:sz w:val="24"/>
          <w:szCs w:val="24"/>
        </w:rPr>
        <w:t>entro</w:t>
      </w:r>
      <w:r w:rsidR="00636ED8" w:rsidRPr="00A15A5C">
        <w:rPr>
          <w:rFonts w:ascii="Arial" w:eastAsia="Arial" w:hAnsi="Arial" w:cs="Arial"/>
          <w:sz w:val="24"/>
          <w:szCs w:val="24"/>
        </w:rPr>
        <w:t>-N</w:t>
      </w:r>
      <w:r w:rsidRPr="00A15A5C">
        <w:rPr>
          <w:rFonts w:ascii="Arial" w:eastAsia="Arial" w:hAnsi="Arial" w:cs="Arial"/>
          <w:sz w:val="24"/>
          <w:szCs w:val="24"/>
        </w:rPr>
        <w:t>ord per alcune regioni ha un costo molto elevato e per alcune come la Calabria supera un quarto di tutte le spese per l’assistenza per questa popolazione.</w:t>
      </w:r>
    </w:p>
    <w:p w14:paraId="7BA1E9CE" w14:textId="020F893C" w:rsidR="00793912" w:rsidRPr="00A15A5C" w:rsidRDefault="00793912" w:rsidP="00BB71B1">
      <w:pPr>
        <w:spacing w:line="276" w:lineRule="auto"/>
        <w:jc w:val="both"/>
        <w:rPr>
          <w:rFonts w:ascii="Arial" w:eastAsia="Arial" w:hAnsi="Arial" w:cs="Arial"/>
          <w:sz w:val="24"/>
          <w:szCs w:val="24"/>
        </w:rPr>
      </w:pPr>
      <w:r w:rsidRPr="00A15A5C">
        <w:rPr>
          <w:rFonts w:ascii="Arial" w:eastAsia="Arial" w:hAnsi="Arial" w:cs="Arial"/>
          <w:sz w:val="24"/>
          <w:szCs w:val="24"/>
        </w:rPr>
        <w:t xml:space="preserve">L’entità di questa migrazione è ancora maggiore se si considerano i ricoveri ad alta complessità. Questa osservazione evidenzia la necessità di un ampliamento/miglioramento dei servizi relativi all’assistenza pediatrica nel </w:t>
      </w:r>
      <w:r w:rsidR="00BB71B1" w:rsidRPr="00A15A5C">
        <w:rPr>
          <w:rFonts w:ascii="Arial" w:eastAsia="Arial" w:hAnsi="Arial" w:cs="Arial"/>
          <w:sz w:val="24"/>
          <w:szCs w:val="24"/>
        </w:rPr>
        <w:t>M</w:t>
      </w:r>
      <w:r w:rsidRPr="00A15A5C">
        <w:rPr>
          <w:rFonts w:ascii="Arial" w:eastAsia="Arial" w:hAnsi="Arial" w:cs="Arial"/>
          <w:sz w:val="24"/>
          <w:szCs w:val="24"/>
        </w:rPr>
        <w:t>ezzogiorno.  Va comunque ricordato in ogni caso che per molte patologie pediatriche, non ad alta complessità, le cure potrebbero essere fornite dalle strutture sanitarie esistenti.</w:t>
      </w:r>
    </w:p>
    <w:p w14:paraId="0D937009" w14:textId="4FC198C4" w:rsidR="00793912" w:rsidRPr="00A15A5C" w:rsidRDefault="00BB71B1" w:rsidP="00BB71B1">
      <w:pPr>
        <w:spacing w:line="276" w:lineRule="auto"/>
        <w:jc w:val="both"/>
        <w:rPr>
          <w:rFonts w:ascii="Arial" w:eastAsia="Arial" w:hAnsi="Arial" w:cs="Arial"/>
          <w:sz w:val="24"/>
          <w:szCs w:val="24"/>
        </w:rPr>
      </w:pPr>
      <w:r w:rsidRPr="00A15A5C">
        <w:rPr>
          <w:rFonts w:ascii="Arial" w:eastAsia="Arial" w:hAnsi="Arial" w:cs="Arial"/>
          <w:sz w:val="24"/>
          <w:szCs w:val="24"/>
        </w:rPr>
        <w:t>È</w:t>
      </w:r>
      <w:r w:rsidR="00793912" w:rsidRPr="00A15A5C">
        <w:rPr>
          <w:rFonts w:ascii="Arial" w:eastAsia="Arial" w:hAnsi="Arial" w:cs="Arial"/>
          <w:sz w:val="24"/>
          <w:szCs w:val="24"/>
        </w:rPr>
        <w:t xml:space="preserve"> necessario dare una maggiore attenzione ai bambini e ragazzi residenti nel </w:t>
      </w:r>
      <w:r w:rsidRPr="00A15A5C">
        <w:rPr>
          <w:rFonts w:ascii="Arial" w:eastAsia="Arial" w:hAnsi="Arial" w:cs="Arial"/>
          <w:sz w:val="24"/>
          <w:szCs w:val="24"/>
        </w:rPr>
        <w:t>M</w:t>
      </w:r>
      <w:r w:rsidR="00793912" w:rsidRPr="00A15A5C">
        <w:rPr>
          <w:rFonts w:ascii="Arial" w:eastAsia="Arial" w:hAnsi="Arial" w:cs="Arial"/>
          <w:sz w:val="24"/>
          <w:szCs w:val="24"/>
        </w:rPr>
        <w:t xml:space="preserve">ezzogiorno che sono notoriamente a maggiore rischio di quelli che nascono nel </w:t>
      </w:r>
      <w:r w:rsidR="0026348D" w:rsidRPr="00A15A5C">
        <w:rPr>
          <w:rFonts w:ascii="Arial" w:eastAsia="Arial" w:hAnsi="Arial" w:cs="Arial"/>
          <w:sz w:val="24"/>
          <w:szCs w:val="24"/>
        </w:rPr>
        <w:t>C</w:t>
      </w:r>
      <w:r w:rsidR="00793912" w:rsidRPr="00A15A5C">
        <w:rPr>
          <w:rFonts w:ascii="Arial" w:eastAsia="Arial" w:hAnsi="Arial" w:cs="Arial"/>
          <w:sz w:val="24"/>
          <w:szCs w:val="24"/>
        </w:rPr>
        <w:t>entro</w:t>
      </w:r>
      <w:r w:rsidR="0026348D" w:rsidRPr="00A15A5C">
        <w:rPr>
          <w:rFonts w:ascii="Arial" w:eastAsia="Arial" w:hAnsi="Arial" w:cs="Arial"/>
          <w:sz w:val="24"/>
          <w:szCs w:val="24"/>
        </w:rPr>
        <w:t>-N</w:t>
      </w:r>
      <w:r w:rsidR="00793912" w:rsidRPr="00A15A5C">
        <w:rPr>
          <w:rFonts w:ascii="Arial" w:eastAsia="Arial" w:hAnsi="Arial" w:cs="Arial"/>
          <w:sz w:val="24"/>
          <w:szCs w:val="24"/>
        </w:rPr>
        <w:t>ord</w:t>
      </w:r>
      <w:r w:rsidR="00636ED8" w:rsidRPr="00A15A5C">
        <w:rPr>
          <w:rFonts w:ascii="Arial" w:eastAsia="Arial" w:hAnsi="Arial" w:cs="Arial"/>
          <w:sz w:val="24"/>
          <w:szCs w:val="24"/>
        </w:rPr>
        <w:t xml:space="preserve"> (5)</w:t>
      </w:r>
      <w:r w:rsidR="00793912" w:rsidRPr="00A15A5C">
        <w:rPr>
          <w:rFonts w:ascii="Arial" w:eastAsia="Arial" w:hAnsi="Arial" w:cs="Arial"/>
          <w:sz w:val="24"/>
          <w:szCs w:val="24"/>
        </w:rPr>
        <w:t xml:space="preserve">. </w:t>
      </w:r>
      <w:r w:rsidRPr="00A15A5C">
        <w:rPr>
          <w:rFonts w:ascii="Arial" w:eastAsia="Arial" w:hAnsi="Arial" w:cs="Arial"/>
          <w:sz w:val="24"/>
          <w:szCs w:val="24"/>
        </w:rPr>
        <w:t>È</w:t>
      </w:r>
      <w:r w:rsidR="00793912" w:rsidRPr="00A15A5C">
        <w:rPr>
          <w:rFonts w:ascii="Arial" w:eastAsia="Arial" w:hAnsi="Arial" w:cs="Arial"/>
          <w:sz w:val="24"/>
          <w:szCs w:val="24"/>
        </w:rPr>
        <w:t xml:space="preserve"> ben noto che questi hanno un maggiore tasso di mortalità infantile</w:t>
      </w:r>
      <w:r w:rsidR="00636ED8" w:rsidRPr="00A15A5C">
        <w:rPr>
          <w:rFonts w:ascii="Arial" w:eastAsia="Arial" w:hAnsi="Arial" w:cs="Arial"/>
          <w:sz w:val="24"/>
          <w:szCs w:val="24"/>
        </w:rPr>
        <w:t xml:space="preserve"> (6</w:t>
      </w:r>
      <w:r w:rsidR="0026348D" w:rsidRPr="00A15A5C">
        <w:rPr>
          <w:rFonts w:ascii="Arial" w:eastAsia="Arial" w:hAnsi="Arial" w:cs="Arial"/>
          <w:sz w:val="24"/>
          <w:szCs w:val="24"/>
        </w:rPr>
        <w:t>,7</w:t>
      </w:r>
      <w:r w:rsidR="00636ED8" w:rsidRPr="00A15A5C">
        <w:rPr>
          <w:rFonts w:ascii="Arial" w:eastAsia="Arial" w:hAnsi="Arial" w:cs="Arial"/>
          <w:sz w:val="24"/>
          <w:szCs w:val="24"/>
        </w:rPr>
        <w:t>)</w:t>
      </w:r>
      <w:r w:rsidR="00793912" w:rsidRPr="00A15A5C">
        <w:rPr>
          <w:rFonts w:ascii="Arial" w:eastAsia="Arial" w:hAnsi="Arial" w:cs="Arial"/>
          <w:sz w:val="24"/>
          <w:szCs w:val="24"/>
        </w:rPr>
        <w:t xml:space="preserve">. Un bambino che nasce nel </w:t>
      </w:r>
      <w:r w:rsidRPr="00A15A5C">
        <w:rPr>
          <w:rFonts w:ascii="Arial" w:eastAsia="Arial" w:hAnsi="Arial" w:cs="Arial"/>
          <w:sz w:val="24"/>
          <w:szCs w:val="24"/>
        </w:rPr>
        <w:t>M</w:t>
      </w:r>
      <w:r w:rsidR="00793912" w:rsidRPr="00A15A5C">
        <w:rPr>
          <w:rFonts w:ascii="Arial" w:eastAsia="Arial" w:hAnsi="Arial" w:cs="Arial"/>
          <w:sz w:val="24"/>
          <w:szCs w:val="24"/>
        </w:rPr>
        <w:t xml:space="preserve">ezzogiorno, nel primo anno di vita, ha un rischio del 40% in più di morire rispetto ad uno nato nel </w:t>
      </w:r>
      <w:r w:rsidR="00A702E5" w:rsidRPr="00A15A5C">
        <w:rPr>
          <w:rFonts w:ascii="Arial" w:eastAsia="Arial" w:hAnsi="Arial" w:cs="Arial"/>
          <w:sz w:val="24"/>
          <w:szCs w:val="24"/>
        </w:rPr>
        <w:t>N</w:t>
      </w:r>
      <w:r w:rsidR="00793912" w:rsidRPr="00A15A5C">
        <w:rPr>
          <w:rFonts w:ascii="Arial" w:eastAsia="Arial" w:hAnsi="Arial" w:cs="Arial"/>
          <w:sz w:val="24"/>
          <w:szCs w:val="24"/>
        </w:rPr>
        <w:t xml:space="preserve">ord-est. Gli stessi bambini figli di genitori immigrati, che in Italia hanno tassi di mortalità infantile maggiore dei figli di genitori italiani, hanno una peggiore prognosi soprattutto se nascono nel </w:t>
      </w:r>
      <w:r w:rsidRPr="00A15A5C">
        <w:rPr>
          <w:rFonts w:ascii="Arial" w:eastAsia="Arial" w:hAnsi="Arial" w:cs="Arial"/>
          <w:sz w:val="24"/>
          <w:szCs w:val="24"/>
        </w:rPr>
        <w:t>M</w:t>
      </w:r>
      <w:r w:rsidR="00793912" w:rsidRPr="00A15A5C">
        <w:rPr>
          <w:rFonts w:ascii="Arial" w:eastAsia="Arial" w:hAnsi="Arial" w:cs="Arial"/>
          <w:sz w:val="24"/>
          <w:szCs w:val="24"/>
        </w:rPr>
        <w:t>ezzogiorno</w:t>
      </w:r>
      <w:r w:rsidR="00636ED8" w:rsidRPr="00A15A5C">
        <w:rPr>
          <w:rFonts w:ascii="Arial" w:eastAsia="Arial" w:hAnsi="Arial" w:cs="Arial"/>
          <w:sz w:val="24"/>
          <w:szCs w:val="24"/>
        </w:rPr>
        <w:t xml:space="preserve"> (</w:t>
      </w:r>
      <w:r w:rsidR="0026348D" w:rsidRPr="00A15A5C">
        <w:rPr>
          <w:rFonts w:ascii="Arial" w:eastAsia="Arial" w:hAnsi="Arial" w:cs="Arial"/>
          <w:sz w:val="24"/>
          <w:szCs w:val="24"/>
        </w:rPr>
        <w:t>7</w:t>
      </w:r>
      <w:r w:rsidR="00636ED8" w:rsidRPr="00A15A5C">
        <w:rPr>
          <w:rFonts w:ascii="Arial" w:eastAsia="Arial" w:hAnsi="Arial" w:cs="Arial"/>
          <w:sz w:val="24"/>
          <w:szCs w:val="24"/>
        </w:rPr>
        <w:t>)</w:t>
      </w:r>
      <w:r w:rsidR="00793912" w:rsidRPr="00A15A5C">
        <w:rPr>
          <w:rFonts w:ascii="Arial" w:eastAsia="Arial" w:hAnsi="Arial" w:cs="Arial"/>
          <w:sz w:val="24"/>
          <w:szCs w:val="24"/>
        </w:rPr>
        <w:t xml:space="preserve">. Le ragioni dell’aumentata mortalità infantile riconoscono molti fattori ma, oltre a cause economiche e sociali, è ben evidente nel </w:t>
      </w:r>
      <w:r w:rsidRPr="00A15A5C">
        <w:rPr>
          <w:rFonts w:ascii="Arial" w:eastAsia="Arial" w:hAnsi="Arial" w:cs="Arial"/>
          <w:sz w:val="24"/>
          <w:szCs w:val="24"/>
        </w:rPr>
        <w:t>M</w:t>
      </w:r>
      <w:r w:rsidR="00793912" w:rsidRPr="00A15A5C">
        <w:rPr>
          <w:rFonts w:ascii="Arial" w:eastAsia="Arial" w:hAnsi="Arial" w:cs="Arial"/>
          <w:sz w:val="24"/>
          <w:szCs w:val="24"/>
        </w:rPr>
        <w:t>ezzogiorno la carente organizzazione sanitaria e delle cure, peggiorate negli ultimi anni anche per i piani di rientro del deficit economico che hanno portato ad una riduzione significativa dei finanziamenti in sanità</w:t>
      </w:r>
      <w:r w:rsidR="0026348D" w:rsidRPr="00A15A5C">
        <w:rPr>
          <w:rFonts w:ascii="Arial" w:eastAsia="Arial" w:hAnsi="Arial" w:cs="Arial"/>
          <w:sz w:val="24"/>
          <w:szCs w:val="24"/>
        </w:rPr>
        <w:t xml:space="preserve"> (8)</w:t>
      </w:r>
      <w:r w:rsidR="00793912" w:rsidRPr="00A15A5C">
        <w:rPr>
          <w:rFonts w:ascii="Arial" w:eastAsia="Arial" w:hAnsi="Arial" w:cs="Arial"/>
          <w:sz w:val="24"/>
          <w:szCs w:val="24"/>
        </w:rPr>
        <w:t>.</w:t>
      </w:r>
    </w:p>
    <w:p w14:paraId="6C3DC7D5" w14:textId="1993D3A8" w:rsidR="00793912" w:rsidRPr="00A15A5C" w:rsidRDefault="00793912" w:rsidP="00BB71B1">
      <w:pPr>
        <w:pBdr>
          <w:top w:val="nil"/>
          <w:left w:val="nil"/>
          <w:bottom w:val="nil"/>
          <w:right w:val="nil"/>
          <w:between w:val="nil"/>
        </w:pBdr>
        <w:spacing w:after="0" w:line="276" w:lineRule="auto"/>
        <w:jc w:val="both"/>
        <w:rPr>
          <w:rFonts w:ascii="Arial" w:eastAsia="Arial" w:hAnsi="Arial" w:cs="Arial"/>
          <w:color w:val="000000"/>
          <w:sz w:val="24"/>
          <w:szCs w:val="24"/>
        </w:rPr>
      </w:pPr>
      <w:r w:rsidRPr="00A15A5C">
        <w:rPr>
          <w:rFonts w:ascii="Arial" w:eastAsia="Arial" w:hAnsi="Arial" w:cs="Arial"/>
          <w:color w:val="000000"/>
          <w:sz w:val="24"/>
          <w:szCs w:val="24"/>
        </w:rPr>
        <w:t xml:space="preserve">La migrazione sanitaria dei minori determina profonde sofferenze per il distacco dal luogo di origine, problemi economici per le famiglie per le spese del trasferimento e difficoltà di lavoro dei genitori per l’allontanamento dalla loro sede. </w:t>
      </w:r>
      <w:r w:rsidR="00BB71B1" w:rsidRPr="00A15A5C">
        <w:rPr>
          <w:rFonts w:ascii="Arial" w:eastAsia="Arial" w:hAnsi="Arial" w:cs="Arial"/>
          <w:color w:val="000000"/>
          <w:sz w:val="24"/>
          <w:szCs w:val="24"/>
        </w:rPr>
        <w:t>Inoltre,</w:t>
      </w:r>
      <w:r w:rsidRPr="00A15A5C">
        <w:rPr>
          <w:rFonts w:ascii="Arial" w:eastAsia="Arial" w:hAnsi="Arial" w:cs="Arial"/>
          <w:color w:val="000000"/>
          <w:sz w:val="24"/>
          <w:szCs w:val="24"/>
        </w:rPr>
        <w:t xml:space="preserve"> le regioni meridionali, per questa migrazione sanitaria, si trovano costrette a rimborsare, attraverso il meccanismo della compensazione tra Regioni, le prestazioni mediche a cui si sottopongono i propri abitanti altrove. Questi costi che nel 2019 sono stati più di 90 milioni di euro, potrebbero invece essere investiti in gran parte localmente in strutture e professionalità per migliorare la situazione sanitaria. </w:t>
      </w:r>
    </w:p>
    <w:p w14:paraId="192829EC" w14:textId="77777777" w:rsidR="00793912" w:rsidRPr="00A15A5C" w:rsidRDefault="00793912" w:rsidP="00BB71B1">
      <w:pPr>
        <w:pBdr>
          <w:top w:val="nil"/>
          <w:left w:val="nil"/>
          <w:bottom w:val="nil"/>
          <w:right w:val="nil"/>
          <w:between w:val="nil"/>
        </w:pBdr>
        <w:spacing w:after="0" w:line="276" w:lineRule="auto"/>
        <w:jc w:val="both"/>
        <w:rPr>
          <w:rFonts w:ascii="Arial" w:eastAsia="Arial" w:hAnsi="Arial" w:cs="Arial"/>
          <w:color w:val="000000"/>
          <w:sz w:val="24"/>
          <w:szCs w:val="24"/>
        </w:rPr>
      </w:pPr>
    </w:p>
    <w:p w14:paraId="34DCF9CF" w14:textId="44EC4DA9" w:rsidR="00793912" w:rsidRDefault="00793912" w:rsidP="00BB71B1">
      <w:pPr>
        <w:spacing w:line="276" w:lineRule="auto"/>
        <w:jc w:val="both"/>
        <w:rPr>
          <w:rFonts w:ascii="Arial" w:eastAsia="Arial" w:hAnsi="Arial" w:cs="Arial"/>
          <w:sz w:val="24"/>
          <w:szCs w:val="24"/>
        </w:rPr>
      </w:pPr>
      <w:r w:rsidRPr="00A15A5C">
        <w:rPr>
          <w:rFonts w:ascii="Arial" w:eastAsia="Arial" w:hAnsi="Arial" w:cs="Arial"/>
          <w:sz w:val="24"/>
          <w:szCs w:val="24"/>
        </w:rPr>
        <w:t xml:space="preserve">La critica situazione del </w:t>
      </w:r>
      <w:r w:rsidR="00BB71B1" w:rsidRPr="00A15A5C">
        <w:rPr>
          <w:rFonts w:ascii="Arial" w:eastAsia="Arial" w:hAnsi="Arial" w:cs="Arial"/>
          <w:sz w:val="24"/>
          <w:szCs w:val="24"/>
        </w:rPr>
        <w:t>M</w:t>
      </w:r>
      <w:r w:rsidRPr="00A15A5C">
        <w:rPr>
          <w:rFonts w:ascii="Arial" w:eastAsia="Arial" w:hAnsi="Arial" w:cs="Arial"/>
          <w:sz w:val="24"/>
          <w:szCs w:val="24"/>
        </w:rPr>
        <w:t>ezzogiorno si è aggravata con la pandemia da coronavirus creando un aumento della povertà assoluta. Nel 2019, la povertà assoluta in Italia ha interessato 1</w:t>
      </w:r>
      <w:r w:rsidR="00A702E5" w:rsidRPr="00A15A5C">
        <w:rPr>
          <w:rFonts w:ascii="Arial" w:eastAsia="Arial" w:hAnsi="Arial" w:cs="Arial"/>
          <w:sz w:val="24"/>
          <w:szCs w:val="24"/>
        </w:rPr>
        <w:t>.</w:t>
      </w:r>
      <w:r w:rsidRPr="00A15A5C">
        <w:rPr>
          <w:rFonts w:ascii="Arial" w:eastAsia="Arial" w:hAnsi="Arial" w:cs="Arial"/>
          <w:sz w:val="24"/>
          <w:szCs w:val="24"/>
        </w:rPr>
        <w:t>137</w:t>
      </w:r>
      <w:r w:rsidR="00A702E5" w:rsidRPr="00A15A5C">
        <w:rPr>
          <w:rFonts w:ascii="Arial" w:eastAsia="Arial" w:hAnsi="Arial" w:cs="Arial"/>
          <w:sz w:val="24"/>
          <w:szCs w:val="24"/>
        </w:rPr>
        <w:t>.000</w:t>
      </w:r>
      <w:r w:rsidRPr="00A15A5C">
        <w:rPr>
          <w:rFonts w:ascii="Arial" w:eastAsia="Arial" w:hAnsi="Arial" w:cs="Arial"/>
          <w:sz w:val="24"/>
          <w:szCs w:val="24"/>
        </w:rPr>
        <w:t xml:space="preserve"> minori ed era presente nel 7,2% nel centro e 14,8% nel Mezzogiorno</w:t>
      </w:r>
      <w:r w:rsidR="0026348D" w:rsidRPr="00A15A5C">
        <w:rPr>
          <w:rFonts w:ascii="Arial" w:eastAsia="Arial" w:hAnsi="Arial" w:cs="Arial"/>
          <w:sz w:val="24"/>
          <w:szCs w:val="24"/>
        </w:rPr>
        <w:t xml:space="preserve"> (9)</w:t>
      </w:r>
      <w:r w:rsidRPr="00A15A5C">
        <w:rPr>
          <w:rFonts w:ascii="Arial" w:eastAsia="Arial" w:hAnsi="Arial" w:cs="Arial"/>
          <w:sz w:val="24"/>
          <w:szCs w:val="24"/>
        </w:rPr>
        <w:t xml:space="preserve">. Secondo un recente studio di </w:t>
      </w:r>
      <w:r w:rsidRPr="00A15A5C">
        <w:rPr>
          <w:rFonts w:ascii="Arial" w:eastAsia="Arial" w:hAnsi="Arial" w:cs="Arial"/>
          <w:i/>
          <w:iCs/>
          <w:sz w:val="24"/>
          <w:szCs w:val="24"/>
        </w:rPr>
        <w:t>Save the Children</w:t>
      </w:r>
      <w:r w:rsidRPr="00A15A5C">
        <w:rPr>
          <w:rFonts w:ascii="Arial" w:eastAsia="Arial" w:hAnsi="Arial" w:cs="Arial"/>
          <w:sz w:val="24"/>
          <w:szCs w:val="24"/>
        </w:rPr>
        <w:t xml:space="preserve"> per il peggioramento della situazione sociale la povertà assoluta è raddoppiata riguardando soprattutto i bambini e ragazzi che vivono nel </w:t>
      </w:r>
      <w:r w:rsidR="00BB71B1" w:rsidRPr="00A15A5C">
        <w:rPr>
          <w:rFonts w:ascii="Arial" w:eastAsia="Arial" w:hAnsi="Arial" w:cs="Arial"/>
          <w:sz w:val="24"/>
          <w:szCs w:val="24"/>
        </w:rPr>
        <w:t>M</w:t>
      </w:r>
      <w:r w:rsidRPr="00A15A5C">
        <w:rPr>
          <w:rFonts w:ascii="Arial" w:eastAsia="Arial" w:hAnsi="Arial" w:cs="Arial"/>
          <w:sz w:val="24"/>
          <w:szCs w:val="24"/>
        </w:rPr>
        <w:t>ezzogiorno</w:t>
      </w:r>
      <w:r w:rsidR="0026348D" w:rsidRPr="00A15A5C">
        <w:rPr>
          <w:rFonts w:ascii="Arial" w:eastAsia="Arial" w:hAnsi="Arial" w:cs="Arial"/>
          <w:sz w:val="24"/>
          <w:szCs w:val="24"/>
        </w:rPr>
        <w:t xml:space="preserve"> (10)</w:t>
      </w:r>
      <w:r w:rsidRPr="00A15A5C">
        <w:rPr>
          <w:rFonts w:ascii="Arial" w:eastAsia="Arial" w:hAnsi="Arial" w:cs="Arial"/>
          <w:sz w:val="24"/>
          <w:szCs w:val="24"/>
        </w:rPr>
        <w:t xml:space="preserve">. Durante il </w:t>
      </w:r>
      <w:r w:rsidRPr="00A15A5C">
        <w:rPr>
          <w:rFonts w:ascii="Arial" w:eastAsia="Arial" w:hAnsi="Arial" w:cs="Arial"/>
          <w:i/>
          <w:iCs/>
          <w:sz w:val="24"/>
          <w:szCs w:val="24"/>
        </w:rPr>
        <w:t>lockdown</w:t>
      </w:r>
      <w:r w:rsidRPr="00A15A5C">
        <w:rPr>
          <w:rFonts w:ascii="Arial" w:eastAsia="Arial" w:hAnsi="Arial" w:cs="Arial"/>
          <w:sz w:val="24"/>
          <w:szCs w:val="24"/>
        </w:rPr>
        <w:t>, necessario per contrastare la pandemia, la didattica a distanza con lezioni in diretta su varie piattaforme, anche se ha svolto un ruolo importante, ha messo in maggiore evidenza le disuguaglianze sociali e culturali preesistenti e anche questa volta i bambini delle regioni meridionali hanno sofferto maggiormente di questa situazione essendo spesso esclusi da videolezioni per la mancanza di computer e di connessioni</w:t>
      </w:r>
      <w:r w:rsidR="0026348D" w:rsidRPr="00A15A5C">
        <w:rPr>
          <w:rFonts w:ascii="Arial" w:eastAsia="Arial" w:hAnsi="Arial" w:cs="Arial"/>
          <w:sz w:val="24"/>
          <w:szCs w:val="24"/>
        </w:rPr>
        <w:t xml:space="preserve"> (11)</w:t>
      </w:r>
      <w:r w:rsidRPr="00A15A5C">
        <w:rPr>
          <w:rFonts w:ascii="Arial" w:eastAsia="Arial" w:hAnsi="Arial" w:cs="Arial"/>
          <w:sz w:val="24"/>
          <w:szCs w:val="24"/>
        </w:rPr>
        <w:t xml:space="preserve">. </w:t>
      </w:r>
    </w:p>
    <w:p w14:paraId="696726A4" w14:textId="1A32E4C5" w:rsidR="00EF502C" w:rsidRPr="00A15A5C" w:rsidRDefault="007B5D86" w:rsidP="00BB71B1">
      <w:pPr>
        <w:spacing w:line="276" w:lineRule="auto"/>
        <w:jc w:val="both"/>
        <w:rPr>
          <w:rFonts w:ascii="Arial" w:eastAsia="Arial" w:hAnsi="Arial" w:cs="Arial"/>
          <w:sz w:val="24"/>
          <w:szCs w:val="24"/>
        </w:rPr>
      </w:pPr>
      <w:r>
        <w:rPr>
          <w:rFonts w:ascii="Arial" w:eastAsia="Arial" w:hAnsi="Arial" w:cs="Arial"/>
          <w:sz w:val="24"/>
          <w:szCs w:val="24"/>
        </w:rPr>
        <w:t xml:space="preserve">Per ridurre la mobilità passiva </w:t>
      </w:r>
      <w:r w:rsidR="008C1A1D">
        <w:rPr>
          <w:rFonts w:ascii="Arial" w:eastAsia="Arial" w:hAnsi="Arial" w:cs="Arial"/>
          <w:sz w:val="24"/>
          <w:szCs w:val="24"/>
        </w:rPr>
        <w:t xml:space="preserve">dal mezzogiorno </w:t>
      </w:r>
      <w:r>
        <w:rPr>
          <w:rFonts w:ascii="Arial" w:eastAsia="Arial" w:hAnsi="Arial" w:cs="Arial"/>
          <w:sz w:val="24"/>
          <w:szCs w:val="24"/>
        </w:rPr>
        <w:t>bisognerebbe curare localmente le malattie a non alta complessità</w:t>
      </w:r>
      <w:r w:rsidR="008C1A1D">
        <w:rPr>
          <w:rFonts w:ascii="Arial" w:eastAsia="Arial" w:hAnsi="Arial" w:cs="Arial"/>
          <w:sz w:val="24"/>
          <w:szCs w:val="24"/>
        </w:rPr>
        <w:t>,</w:t>
      </w:r>
      <w:r>
        <w:rPr>
          <w:rFonts w:ascii="Arial" w:eastAsia="Arial" w:hAnsi="Arial" w:cs="Arial"/>
          <w:sz w:val="24"/>
          <w:szCs w:val="24"/>
        </w:rPr>
        <w:t xml:space="preserve"> migliorare la qualità degli ospedali del mezzogiorno che hanno </w:t>
      </w:r>
      <w:r>
        <w:rPr>
          <w:rFonts w:ascii="Arial" w:eastAsia="Arial" w:hAnsi="Arial" w:cs="Arial"/>
          <w:sz w:val="24"/>
          <w:szCs w:val="24"/>
        </w:rPr>
        <w:lastRenderedPageBreak/>
        <w:t>subito negli ultimi decenni gravi tagli economici. Potrebbe essere utile creare collaborazioni</w:t>
      </w:r>
      <w:r w:rsidR="008C1A1D">
        <w:rPr>
          <w:rFonts w:ascii="Arial" w:eastAsia="Arial" w:hAnsi="Arial" w:cs="Arial"/>
          <w:sz w:val="24"/>
          <w:szCs w:val="24"/>
        </w:rPr>
        <w:t xml:space="preserve"> con i centri ospedalieri di riferimento del centro nord anche utilizzando nuove tecnologie digitali (es. telemedicina).</w:t>
      </w:r>
    </w:p>
    <w:p w14:paraId="1C684115" w14:textId="79169007" w:rsidR="00793912" w:rsidRPr="00A15A5C" w:rsidRDefault="00793912" w:rsidP="00BB71B1">
      <w:pPr>
        <w:pBdr>
          <w:top w:val="nil"/>
          <w:left w:val="nil"/>
          <w:bottom w:val="nil"/>
          <w:right w:val="nil"/>
          <w:between w:val="nil"/>
        </w:pBdr>
        <w:spacing w:after="0" w:line="276" w:lineRule="auto"/>
        <w:jc w:val="both"/>
        <w:rPr>
          <w:rFonts w:ascii="Arial" w:eastAsia="Arial" w:hAnsi="Arial" w:cs="Arial"/>
          <w:color w:val="000000"/>
          <w:sz w:val="24"/>
          <w:szCs w:val="24"/>
        </w:rPr>
      </w:pPr>
      <w:r w:rsidRPr="00A15A5C">
        <w:rPr>
          <w:rFonts w:ascii="Arial" w:eastAsia="Arial" w:hAnsi="Arial" w:cs="Arial"/>
          <w:color w:val="000000"/>
          <w:sz w:val="24"/>
          <w:szCs w:val="24"/>
        </w:rPr>
        <w:t xml:space="preserve">I fondi previsti dal </w:t>
      </w:r>
      <w:r w:rsidRPr="00A15A5C">
        <w:rPr>
          <w:rFonts w:ascii="Arial" w:eastAsia="Arial" w:hAnsi="Arial" w:cs="Arial"/>
          <w:i/>
          <w:iCs/>
          <w:color w:val="000000"/>
          <w:sz w:val="24"/>
          <w:szCs w:val="24"/>
        </w:rPr>
        <w:t>Next Generation EU</w:t>
      </w:r>
      <w:r w:rsidRPr="00A15A5C">
        <w:rPr>
          <w:rFonts w:ascii="Arial" w:eastAsia="Arial" w:hAnsi="Arial" w:cs="Arial"/>
          <w:color w:val="000000"/>
          <w:sz w:val="24"/>
          <w:szCs w:val="24"/>
        </w:rPr>
        <w:t xml:space="preserve"> </w:t>
      </w:r>
      <w:r w:rsidR="0026348D" w:rsidRPr="00A15A5C">
        <w:rPr>
          <w:rFonts w:ascii="Arial" w:eastAsia="Arial" w:hAnsi="Arial" w:cs="Arial"/>
          <w:color w:val="000000"/>
          <w:sz w:val="24"/>
          <w:szCs w:val="24"/>
        </w:rPr>
        <w:t xml:space="preserve">(12) </w:t>
      </w:r>
      <w:r w:rsidRPr="00A15A5C">
        <w:rPr>
          <w:rFonts w:ascii="Arial" w:eastAsia="Arial" w:hAnsi="Arial" w:cs="Arial"/>
          <w:color w:val="000000"/>
          <w:sz w:val="24"/>
          <w:szCs w:val="24"/>
        </w:rPr>
        <w:t>rappresentano una occasione unica e forse irr</w:t>
      </w:r>
      <w:r w:rsidRPr="00A15A5C">
        <w:rPr>
          <w:rFonts w:ascii="Arial" w:eastAsia="Arial" w:hAnsi="Arial" w:cs="Arial"/>
          <w:sz w:val="24"/>
          <w:szCs w:val="24"/>
        </w:rPr>
        <w:t>i</w:t>
      </w:r>
      <w:r w:rsidRPr="00A15A5C">
        <w:rPr>
          <w:rFonts w:ascii="Arial" w:eastAsia="Arial" w:hAnsi="Arial" w:cs="Arial"/>
          <w:color w:val="000000"/>
          <w:sz w:val="24"/>
          <w:szCs w:val="24"/>
        </w:rPr>
        <w:t xml:space="preserve">petibile per la ripartenza del nostro paese. </w:t>
      </w:r>
      <w:r w:rsidR="00BB71B1" w:rsidRPr="00A15A5C">
        <w:rPr>
          <w:rFonts w:ascii="Arial" w:eastAsia="Arial" w:hAnsi="Arial" w:cs="Arial"/>
          <w:color w:val="000000"/>
          <w:sz w:val="24"/>
          <w:szCs w:val="24"/>
        </w:rPr>
        <w:t>È</w:t>
      </w:r>
      <w:r w:rsidRPr="00A15A5C">
        <w:rPr>
          <w:rFonts w:ascii="Arial" w:eastAsia="Arial" w:hAnsi="Arial" w:cs="Arial"/>
          <w:color w:val="000000"/>
          <w:sz w:val="24"/>
          <w:szCs w:val="24"/>
        </w:rPr>
        <w:t xml:space="preserve"> fondamentale correggere il grave divario esistente tra le regioni e migliorare l’organizzazione sanitaria, l’educazione, iniziando dagli asili nido quasi inesistenti nelle regioni meridionali fino alle Università. </w:t>
      </w:r>
    </w:p>
    <w:p w14:paraId="66959606" w14:textId="33473112" w:rsidR="00793912" w:rsidRPr="00A15A5C" w:rsidRDefault="00793912" w:rsidP="00BB71B1">
      <w:pPr>
        <w:spacing w:after="0" w:line="276" w:lineRule="auto"/>
        <w:jc w:val="both"/>
        <w:rPr>
          <w:rFonts w:ascii="Arial" w:eastAsia="Arial" w:hAnsi="Arial" w:cs="Arial"/>
          <w:sz w:val="24"/>
          <w:szCs w:val="24"/>
        </w:rPr>
      </w:pPr>
      <w:r w:rsidRPr="00A15A5C">
        <w:rPr>
          <w:rFonts w:ascii="Arial" w:eastAsia="Arial" w:hAnsi="Arial" w:cs="Arial"/>
          <w:sz w:val="24"/>
          <w:szCs w:val="24"/>
        </w:rPr>
        <w:t xml:space="preserve">Solo con un contrasto alle disuguaglianze e correggendo la critica situazione del </w:t>
      </w:r>
      <w:r w:rsidR="00BB71B1" w:rsidRPr="00A15A5C">
        <w:rPr>
          <w:rFonts w:ascii="Arial" w:eastAsia="Arial" w:hAnsi="Arial" w:cs="Arial"/>
          <w:sz w:val="24"/>
          <w:szCs w:val="24"/>
        </w:rPr>
        <w:t>M</w:t>
      </w:r>
      <w:r w:rsidRPr="00A15A5C">
        <w:rPr>
          <w:rFonts w:ascii="Arial" w:eastAsia="Arial" w:hAnsi="Arial" w:cs="Arial"/>
          <w:sz w:val="24"/>
          <w:szCs w:val="24"/>
        </w:rPr>
        <w:t>ezzogiorno ed in particolare la povertà economica, educativa e la difficile situazione sanitaria il nostro paese potrà ripartire. L’investimento nell’infanzia è il più efficace, duraturo e il miglior contributo alla ripresa economica e allo sviluppo di una società.</w:t>
      </w:r>
    </w:p>
    <w:p w14:paraId="5FB16C7E" w14:textId="54A5AA51" w:rsidR="00DB3CBC" w:rsidRPr="00A15A5C" w:rsidRDefault="00DB3CBC">
      <w:pPr>
        <w:rPr>
          <w:rFonts w:ascii="Arial" w:eastAsia="Arial" w:hAnsi="Arial" w:cs="Arial"/>
          <w:b/>
          <w:sz w:val="24"/>
          <w:szCs w:val="24"/>
        </w:rPr>
      </w:pPr>
      <w:r w:rsidRPr="00A15A5C">
        <w:rPr>
          <w:rFonts w:ascii="Arial" w:eastAsia="Arial" w:hAnsi="Arial" w:cs="Arial"/>
          <w:b/>
          <w:sz w:val="24"/>
          <w:szCs w:val="24"/>
        </w:rPr>
        <w:br w:type="page"/>
      </w:r>
    </w:p>
    <w:tbl>
      <w:tblPr>
        <w:tblpPr w:leftFromText="141" w:rightFromText="141" w:vertAnchor="text" w:horzAnchor="margin" w:tblpY="326"/>
        <w:tblW w:w="5342" w:type="pct"/>
        <w:tblLayout w:type="fixed"/>
        <w:tblLook w:val="04A0" w:firstRow="1" w:lastRow="0" w:firstColumn="1" w:lastColumn="0" w:noHBand="0" w:noVBand="1"/>
      </w:tblPr>
      <w:tblGrid>
        <w:gridCol w:w="1702"/>
        <w:gridCol w:w="1227"/>
        <w:gridCol w:w="1466"/>
        <w:gridCol w:w="1559"/>
        <w:gridCol w:w="1559"/>
        <w:gridCol w:w="1559"/>
        <w:gridCol w:w="1225"/>
      </w:tblGrid>
      <w:tr w:rsidR="00DB3CBC" w:rsidRPr="00A15A5C" w14:paraId="77867986" w14:textId="77777777" w:rsidTr="00893850">
        <w:trPr>
          <w:trHeight w:val="320"/>
        </w:trPr>
        <w:tc>
          <w:tcPr>
            <w:tcW w:w="826" w:type="pct"/>
            <w:tcBorders>
              <w:top w:val="single" w:sz="4" w:space="0" w:color="auto"/>
              <w:bottom w:val="single" w:sz="4" w:space="0" w:color="auto"/>
            </w:tcBorders>
            <w:noWrap/>
            <w:vAlign w:val="center"/>
            <w:hideMark/>
          </w:tcPr>
          <w:p w14:paraId="349C1882"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lastRenderedPageBreak/>
              <w:t>Regione</w:t>
            </w:r>
          </w:p>
        </w:tc>
        <w:tc>
          <w:tcPr>
            <w:tcW w:w="596" w:type="pct"/>
            <w:tcBorders>
              <w:top w:val="single" w:sz="4" w:space="0" w:color="auto"/>
              <w:bottom w:val="single" w:sz="4" w:space="0" w:color="auto"/>
            </w:tcBorders>
            <w:noWrap/>
            <w:vAlign w:val="center"/>
            <w:hideMark/>
          </w:tcPr>
          <w:p w14:paraId="6364FAE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Popolazione 0-14</w:t>
            </w:r>
          </w:p>
        </w:tc>
        <w:tc>
          <w:tcPr>
            <w:tcW w:w="712" w:type="pct"/>
            <w:tcBorders>
              <w:top w:val="single" w:sz="4" w:space="0" w:color="auto"/>
              <w:bottom w:val="single" w:sz="4" w:space="0" w:color="auto"/>
            </w:tcBorders>
            <w:noWrap/>
            <w:vAlign w:val="center"/>
            <w:hideMark/>
          </w:tcPr>
          <w:p w14:paraId="33FB762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Totale ospedalizzazioni</w:t>
            </w:r>
          </w:p>
        </w:tc>
        <w:tc>
          <w:tcPr>
            <w:tcW w:w="757" w:type="pct"/>
            <w:tcBorders>
              <w:top w:val="single" w:sz="4" w:space="0" w:color="auto"/>
              <w:bottom w:val="single" w:sz="4" w:space="0" w:color="auto"/>
            </w:tcBorders>
            <w:vAlign w:val="center"/>
          </w:tcPr>
          <w:p w14:paraId="50F042A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Tasso di ospedalizzazione (%)</w:t>
            </w:r>
          </w:p>
        </w:tc>
        <w:tc>
          <w:tcPr>
            <w:tcW w:w="757" w:type="pct"/>
            <w:tcBorders>
              <w:top w:val="single" w:sz="4" w:space="0" w:color="auto"/>
              <w:bottom w:val="single" w:sz="4" w:space="0" w:color="auto"/>
            </w:tcBorders>
            <w:noWrap/>
            <w:vAlign w:val="center"/>
            <w:hideMark/>
          </w:tcPr>
          <w:p w14:paraId="2C3AF3D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Ospedalizzazioni nella regione di residenza</w:t>
            </w:r>
          </w:p>
        </w:tc>
        <w:tc>
          <w:tcPr>
            <w:tcW w:w="757" w:type="pct"/>
            <w:tcBorders>
              <w:top w:val="single" w:sz="4" w:space="0" w:color="auto"/>
              <w:bottom w:val="single" w:sz="4" w:space="0" w:color="auto"/>
            </w:tcBorders>
            <w:noWrap/>
            <w:vAlign w:val="center"/>
            <w:hideMark/>
          </w:tcPr>
          <w:p w14:paraId="6CAA394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Ospedalizzazioni fuori regione</w:t>
            </w:r>
          </w:p>
        </w:tc>
        <w:tc>
          <w:tcPr>
            <w:tcW w:w="595" w:type="pct"/>
            <w:tcBorders>
              <w:top w:val="single" w:sz="4" w:space="0" w:color="auto"/>
              <w:bottom w:val="single" w:sz="4" w:space="0" w:color="auto"/>
            </w:tcBorders>
            <w:noWrap/>
            <w:vAlign w:val="center"/>
            <w:hideMark/>
          </w:tcPr>
          <w:p w14:paraId="59644A6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Indice di fuga (%)</w:t>
            </w:r>
          </w:p>
        </w:tc>
      </w:tr>
      <w:tr w:rsidR="00DB3CBC" w:rsidRPr="00A15A5C" w14:paraId="36E5D41B" w14:textId="77777777" w:rsidTr="00893850">
        <w:trPr>
          <w:trHeight w:val="320"/>
        </w:trPr>
        <w:tc>
          <w:tcPr>
            <w:tcW w:w="826" w:type="pct"/>
            <w:tcBorders>
              <w:top w:val="single" w:sz="4" w:space="0" w:color="auto"/>
            </w:tcBorders>
            <w:noWrap/>
            <w:vAlign w:val="center"/>
          </w:tcPr>
          <w:p w14:paraId="7CF10768" w14:textId="77777777" w:rsidR="00DB3CBC" w:rsidRPr="00A15A5C" w:rsidRDefault="00DB3CBC" w:rsidP="00893850">
            <w:pPr>
              <w:rPr>
                <w:rFonts w:ascii="Arial" w:hAnsi="Arial" w:cs="Arial"/>
                <w:b/>
                <w:bCs/>
                <w:color w:val="000000"/>
                <w:sz w:val="16"/>
                <w:szCs w:val="16"/>
              </w:rPr>
            </w:pPr>
            <w:r w:rsidRPr="00A15A5C">
              <w:rPr>
                <w:rFonts w:ascii="Arial" w:hAnsi="Arial" w:cs="Arial"/>
                <w:b/>
                <w:bCs/>
                <w:color w:val="000000"/>
                <w:sz w:val="16"/>
                <w:szCs w:val="16"/>
              </w:rPr>
              <w:t>Centro-Nord</w:t>
            </w:r>
          </w:p>
        </w:tc>
        <w:tc>
          <w:tcPr>
            <w:tcW w:w="596" w:type="pct"/>
            <w:tcBorders>
              <w:top w:val="single" w:sz="4" w:space="0" w:color="auto"/>
            </w:tcBorders>
            <w:noWrap/>
            <w:vAlign w:val="center"/>
          </w:tcPr>
          <w:p w14:paraId="45B61931"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5.146.568</w:t>
            </w:r>
          </w:p>
        </w:tc>
        <w:tc>
          <w:tcPr>
            <w:tcW w:w="712" w:type="pct"/>
            <w:tcBorders>
              <w:top w:val="single" w:sz="4" w:space="0" w:color="auto"/>
            </w:tcBorders>
            <w:noWrap/>
            <w:vAlign w:val="center"/>
          </w:tcPr>
          <w:p w14:paraId="75F142BE"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632.027</w:t>
            </w:r>
          </w:p>
        </w:tc>
        <w:tc>
          <w:tcPr>
            <w:tcW w:w="757" w:type="pct"/>
            <w:tcBorders>
              <w:top w:val="single" w:sz="4" w:space="0" w:color="auto"/>
            </w:tcBorders>
            <w:vAlign w:val="center"/>
          </w:tcPr>
          <w:p w14:paraId="439A59FA"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12,3</w:t>
            </w:r>
          </w:p>
        </w:tc>
        <w:tc>
          <w:tcPr>
            <w:tcW w:w="757" w:type="pct"/>
            <w:tcBorders>
              <w:top w:val="single" w:sz="4" w:space="0" w:color="auto"/>
            </w:tcBorders>
            <w:noWrap/>
            <w:vAlign w:val="center"/>
          </w:tcPr>
          <w:p w14:paraId="137A957A"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588.586</w:t>
            </w:r>
          </w:p>
        </w:tc>
        <w:tc>
          <w:tcPr>
            <w:tcW w:w="757" w:type="pct"/>
            <w:tcBorders>
              <w:top w:val="single" w:sz="4" w:space="0" w:color="auto"/>
            </w:tcBorders>
            <w:noWrap/>
            <w:vAlign w:val="center"/>
          </w:tcPr>
          <w:p w14:paraId="60C53200"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43.441</w:t>
            </w:r>
          </w:p>
        </w:tc>
        <w:tc>
          <w:tcPr>
            <w:tcW w:w="595" w:type="pct"/>
            <w:tcBorders>
              <w:top w:val="single" w:sz="4" w:space="0" w:color="auto"/>
            </w:tcBorders>
            <w:noWrap/>
            <w:vAlign w:val="center"/>
          </w:tcPr>
          <w:p w14:paraId="081C0B30"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6,9</w:t>
            </w:r>
          </w:p>
        </w:tc>
      </w:tr>
      <w:tr w:rsidR="00DB3CBC" w:rsidRPr="00A15A5C" w14:paraId="6AB5233F" w14:textId="77777777" w:rsidTr="00893850">
        <w:trPr>
          <w:trHeight w:val="320"/>
        </w:trPr>
        <w:tc>
          <w:tcPr>
            <w:tcW w:w="826" w:type="pct"/>
            <w:noWrap/>
            <w:vAlign w:val="center"/>
          </w:tcPr>
          <w:p w14:paraId="2A06D4F8"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Piemonte</w:t>
            </w:r>
          </w:p>
        </w:tc>
        <w:tc>
          <w:tcPr>
            <w:tcW w:w="596" w:type="pct"/>
            <w:noWrap/>
            <w:vAlign w:val="center"/>
          </w:tcPr>
          <w:p w14:paraId="6324FAA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535.335</w:t>
            </w:r>
          </w:p>
        </w:tc>
        <w:tc>
          <w:tcPr>
            <w:tcW w:w="712" w:type="pct"/>
            <w:noWrap/>
            <w:vAlign w:val="center"/>
          </w:tcPr>
          <w:p w14:paraId="1CB1646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60.640</w:t>
            </w:r>
          </w:p>
        </w:tc>
        <w:tc>
          <w:tcPr>
            <w:tcW w:w="757" w:type="pct"/>
            <w:vAlign w:val="center"/>
          </w:tcPr>
          <w:p w14:paraId="5C6503E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11,3</w:t>
            </w:r>
          </w:p>
        </w:tc>
        <w:tc>
          <w:tcPr>
            <w:tcW w:w="757" w:type="pct"/>
            <w:noWrap/>
            <w:vAlign w:val="center"/>
          </w:tcPr>
          <w:p w14:paraId="2A52A76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55.509</w:t>
            </w:r>
          </w:p>
        </w:tc>
        <w:tc>
          <w:tcPr>
            <w:tcW w:w="757" w:type="pct"/>
            <w:noWrap/>
            <w:vAlign w:val="center"/>
          </w:tcPr>
          <w:p w14:paraId="3FEC098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5.131</w:t>
            </w:r>
          </w:p>
        </w:tc>
        <w:tc>
          <w:tcPr>
            <w:tcW w:w="595" w:type="pct"/>
            <w:noWrap/>
            <w:vAlign w:val="center"/>
          </w:tcPr>
          <w:p w14:paraId="5D358ED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8,5</w:t>
            </w:r>
          </w:p>
        </w:tc>
      </w:tr>
      <w:tr w:rsidR="00DB3CBC" w:rsidRPr="00A15A5C" w14:paraId="7675D7A9" w14:textId="77777777" w:rsidTr="00893850">
        <w:trPr>
          <w:trHeight w:val="320"/>
        </w:trPr>
        <w:tc>
          <w:tcPr>
            <w:tcW w:w="826" w:type="pct"/>
            <w:noWrap/>
            <w:vAlign w:val="center"/>
          </w:tcPr>
          <w:p w14:paraId="4216059F"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Valle d’Aosta</w:t>
            </w:r>
          </w:p>
        </w:tc>
        <w:tc>
          <w:tcPr>
            <w:tcW w:w="596" w:type="pct"/>
            <w:noWrap/>
            <w:vAlign w:val="center"/>
          </w:tcPr>
          <w:p w14:paraId="61E2878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16.475</w:t>
            </w:r>
          </w:p>
        </w:tc>
        <w:tc>
          <w:tcPr>
            <w:tcW w:w="712" w:type="pct"/>
            <w:noWrap/>
            <w:vAlign w:val="center"/>
          </w:tcPr>
          <w:p w14:paraId="4A75BC3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1.803</w:t>
            </w:r>
          </w:p>
        </w:tc>
        <w:tc>
          <w:tcPr>
            <w:tcW w:w="757" w:type="pct"/>
            <w:vAlign w:val="center"/>
          </w:tcPr>
          <w:p w14:paraId="21C2DEC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10,9</w:t>
            </w:r>
          </w:p>
        </w:tc>
        <w:tc>
          <w:tcPr>
            <w:tcW w:w="757" w:type="pct"/>
            <w:noWrap/>
            <w:vAlign w:val="center"/>
          </w:tcPr>
          <w:p w14:paraId="4BE94CB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1.356</w:t>
            </w:r>
          </w:p>
        </w:tc>
        <w:tc>
          <w:tcPr>
            <w:tcW w:w="757" w:type="pct"/>
            <w:noWrap/>
            <w:vAlign w:val="center"/>
          </w:tcPr>
          <w:p w14:paraId="5031BD5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447</w:t>
            </w:r>
          </w:p>
        </w:tc>
        <w:tc>
          <w:tcPr>
            <w:tcW w:w="595" w:type="pct"/>
            <w:noWrap/>
            <w:vAlign w:val="center"/>
          </w:tcPr>
          <w:p w14:paraId="1F395B7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24,8</w:t>
            </w:r>
          </w:p>
        </w:tc>
      </w:tr>
      <w:tr w:rsidR="00DB3CBC" w:rsidRPr="00A15A5C" w14:paraId="3891F9BA" w14:textId="77777777" w:rsidTr="00893850">
        <w:trPr>
          <w:trHeight w:val="320"/>
        </w:trPr>
        <w:tc>
          <w:tcPr>
            <w:tcW w:w="826" w:type="pct"/>
            <w:noWrap/>
            <w:vAlign w:val="center"/>
          </w:tcPr>
          <w:p w14:paraId="21DF77E4"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Liguria</w:t>
            </w:r>
          </w:p>
        </w:tc>
        <w:tc>
          <w:tcPr>
            <w:tcW w:w="596" w:type="pct"/>
            <w:noWrap/>
            <w:vAlign w:val="center"/>
          </w:tcPr>
          <w:p w14:paraId="1507254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170.174</w:t>
            </w:r>
          </w:p>
        </w:tc>
        <w:tc>
          <w:tcPr>
            <w:tcW w:w="712" w:type="pct"/>
            <w:noWrap/>
            <w:vAlign w:val="center"/>
          </w:tcPr>
          <w:p w14:paraId="4E2E825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24.998</w:t>
            </w:r>
          </w:p>
        </w:tc>
        <w:tc>
          <w:tcPr>
            <w:tcW w:w="757" w:type="pct"/>
            <w:vAlign w:val="center"/>
          </w:tcPr>
          <w:p w14:paraId="694A2F9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14,7</w:t>
            </w:r>
          </w:p>
        </w:tc>
        <w:tc>
          <w:tcPr>
            <w:tcW w:w="757" w:type="pct"/>
            <w:noWrap/>
            <w:vAlign w:val="center"/>
          </w:tcPr>
          <w:p w14:paraId="5E11CA9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22.695</w:t>
            </w:r>
          </w:p>
        </w:tc>
        <w:tc>
          <w:tcPr>
            <w:tcW w:w="757" w:type="pct"/>
            <w:noWrap/>
            <w:vAlign w:val="center"/>
          </w:tcPr>
          <w:p w14:paraId="6B94F46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2.303</w:t>
            </w:r>
          </w:p>
        </w:tc>
        <w:tc>
          <w:tcPr>
            <w:tcW w:w="595" w:type="pct"/>
            <w:noWrap/>
            <w:vAlign w:val="center"/>
          </w:tcPr>
          <w:p w14:paraId="4C717B3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9,2</w:t>
            </w:r>
          </w:p>
        </w:tc>
      </w:tr>
      <w:tr w:rsidR="00DB3CBC" w:rsidRPr="00A15A5C" w14:paraId="0437C268" w14:textId="77777777" w:rsidTr="00893850">
        <w:trPr>
          <w:trHeight w:val="320"/>
        </w:trPr>
        <w:tc>
          <w:tcPr>
            <w:tcW w:w="826" w:type="pct"/>
            <w:noWrap/>
            <w:vAlign w:val="center"/>
          </w:tcPr>
          <w:p w14:paraId="5326263E"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Lombardia</w:t>
            </w:r>
          </w:p>
        </w:tc>
        <w:tc>
          <w:tcPr>
            <w:tcW w:w="596" w:type="pct"/>
            <w:noWrap/>
            <w:vAlign w:val="center"/>
          </w:tcPr>
          <w:p w14:paraId="7995F1E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1.362.146</w:t>
            </w:r>
          </w:p>
        </w:tc>
        <w:tc>
          <w:tcPr>
            <w:tcW w:w="712" w:type="pct"/>
            <w:noWrap/>
            <w:vAlign w:val="center"/>
          </w:tcPr>
          <w:p w14:paraId="086E6C3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162.115</w:t>
            </w:r>
          </w:p>
        </w:tc>
        <w:tc>
          <w:tcPr>
            <w:tcW w:w="757" w:type="pct"/>
            <w:vAlign w:val="center"/>
          </w:tcPr>
          <w:p w14:paraId="0F3B058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11,9</w:t>
            </w:r>
          </w:p>
        </w:tc>
        <w:tc>
          <w:tcPr>
            <w:tcW w:w="757" w:type="pct"/>
            <w:noWrap/>
            <w:vAlign w:val="center"/>
          </w:tcPr>
          <w:p w14:paraId="6650BE3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154.320</w:t>
            </w:r>
          </w:p>
        </w:tc>
        <w:tc>
          <w:tcPr>
            <w:tcW w:w="757" w:type="pct"/>
            <w:noWrap/>
            <w:vAlign w:val="center"/>
          </w:tcPr>
          <w:p w14:paraId="429D8B6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7.795</w:t>
            </w:r>
          </w:p>
        </w:tc>
        <w:tc>
          <w:tcPr>
            <w:tcW w:w="595" w:type="pct"/>
            <w:noWrap/>
            <w:vAlign w:val="center"/>
          </w:tcPr>
          <w:p w14:paraId="30FA0FA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4,8</w:t>
            </w:r>
          </w:p>
        </w:tc>
      </w:tr>
      <w:tr w:rsidR="00DB3CBC" w:rsidRPr="00A15A5C" w14:paraId="628E7DF7" w14:textId="77777777" w:rsidTr="00893850">
        <w:trPr>
          <w:trHeight w:val="320"/>
        </w:trPr>
        <w:tc>
          <w:tcPr>
            <w:tcW w:w="826" w:type="pct"/>
            <w:noWrap/>
            <w:vAlign w:val="center"/>
          </w:tcPr>
          <w:p w14:paraId="6A29B47E"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Trento</w:t>
            </w:r>
          </w:p>
        </w:tc>
        <w:tc>
          <w:tcPr>
            <w:tcW w:w="596" w:type="pct"/>
            <w:noWrap/>
            <w:vAlign w:val="center"/>
          </w:tcPr>
          <w:p w14:paraId="5CFE462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77.874</w:t>
            </w:r>
          </w:p>
        </w:tc>
        <w:tc>
          <w:tcPr>
            <w:tcW w:w="712" w:type="pct"/>
            <w:noWrap/>
            <w:vAlign w:val="center"/>
          </w:tcPr>
          <w:p w14:paraId="21D5193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9.030</w:t>
            </w:r>
          </w:p>
        </w:tc>
        <w:tc>
          <w:tcPr>
            <w:tcW w:w="757" w:type="pct"/>
            <w:vAlign w:val="center"/>
          </w:tcPr>
          <w:p w14:paraId="0735E3F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11,6</w:t>
            </w:r>
          </w:p>
        </w:tc>
        <w:tc>
          <w:tcPr>
            <w:tcW w:w="757" w:type="pct"/>
            <w:noWrap/>
            <w:vAlign w:val="center"/>
          </w:tcPr>
          <w:p w14:paraId="397689E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7.613</w:t>
            </w:r>
          </w:p>
        </w:tc>
        <w:tc>
          <w:tcPr>
            <w:tcW w:w="757" w:type="pct"/>
            <w:noWrap/>
            <w:vAlign w:val="center"/>
          </w:tcPr>
          <w:p w14:paraId="1394B48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1.417</w:t>
            </w:r>
          </w:p>
        </w:tc>
        <w:tc>
          <w:tcPr>
            <w:tcW w:w="595" w:type="pct"/>
            <w:noWrap/>
            <w:vAlign w:val="center"/>
          </w:tcPr>
          <w:p w14:paraId="4ADEDB4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15,7</w:t>
            </w:r>
          </w:p>
        </w:tc>
      </w:tr>
      <w:tr w:rsidR="00DB3CBC" w:rsidRPr="00A15A5C" w14:paraId="5DA20155" w14:textId="77777777" w:rsidTr="00893850">
        <w:trPr>
          <w:trHeight w:val="320"/>
        </w:trPr>
        <w:tc>
          <w:tcPr>
            <w:tcW w:w="826" w:type="pct"/>
            <w:noWrap/>
            <w:vAlign w:val="center"/>
          </w:tcPr>
          <w:p w14:paraId="0F836AC3"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Bolzano</w:t>
            </w:r>
          </w:p>
        </w:tc>
        <w:tc>
          <w:tcPr>
            <w:tcW w:w="596" w:type="pct"/>
            <w:noWrap/>
            <w:vAlign w:val="center"/>
          </w:tcPr>
          <w:p w14:paraId="3FA3823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83.353</w:t>
            </w:r>
          </w:p>
        </w:tc>
        <w:tc>
          <w:tcPr>
            <w:tcW w:w="712" w:type="pct"/>
            <w:noWrap/>
            <w:vAlign w:val="center"/>
          </w:tcPr>
          <w:p w14:paraId="7EC888B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10.243</w:t>
            </w:r>
          </w:p>
        </w:tc>
        <w:tc>
          <w:tcPr>
            <w:tcW w:w="757" w:type="pct"/>
            <w:vAlign w:val="center"/>
          </w:tcPr>
          <w:p w14:paraId="6E30FE6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12,3</w:t>
            </w:r>
          </w:p>
        </w:tc>
        <w:tc>
          <w:tcPr>
            <w:tcW w:w="757" w:type="pct"/>
            <w:noWrap/>
            <w:vAlign w:val="center"/>
          </w:tcPr>
          <w:p w14:paraId="689C013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9.676</w:t>
            </w:r>
          </w:p>
        </w:tc>
        <w:tc>
          <w:tcPr>
            <w:tcW w:w="757" w:type="pct"/>
            <w:noWrap/>
            <w:vAlign w:val="center"/>
          </w:tcPr>
          <w:p w14:paraId="43E69DE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567</w:t>
            </w:r>
          </w:p>
        </w:tc>
        <w:tc>
          <w:tcPr>
            <w:tcW w:w="595" w:type="pct"/>
            <w:noWrap/>
            <w:vAlign w:val="center"/>
          </w:tcPr>
          <w:p w14:paraId="014560D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5,5</w:t>
            </w:r>
          </w:p>
        </w:tc>
      </w:tr>
      <w:tr w:rsidR="00DB3CBC" w:rsidRPr="00A15A5C" w14:paraId="494B3D10" w14:textId="77777777" w:rsidTr="00893850">
        <w:trPr>
          <w:trHeight w:val="320"/>
        </w:trPr>
        <w:tc>
          <w:tcPr>
            <w:tcW w:w="826" w:type="pct"/>
            <w:noWrap/>
            <w:vAlign w:val="center"/>
          </w:tcPr>
          <w:p w14:paraId="2B1A0E2C"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Veneto</w:t>
            </w:r>
          </w:p>
        </w:tc>
        <w:tc>
          <w:tcPr>
            <w:tcW w:w="596" w:type="pct"/>
            <w:noWrap/>
            <w:vAlign w:val="center"/>
          </w:tcPr>
          <w:p w14:paraId="219E695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646.974</w:t>
            </w:r>
          </w:p>
        </w:tc>
        <w:tc>
          <w:tcPr>
            <w:tcW w:w="712" w:type="pct"/>
            <w:noWrap/>
            <w:vAlign w:val="center"/>
          </w:tcPr>
          <w:p w14:paraId="553B8FF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69.553</w:t>
            </w:r>
          </w:p>
        </w:tc>
        <w:tc>
          <w:tcPr>
            <w:tcW w:w="757" w:type="pct"/>
            <w:vAlign w:val="center"/>
          </w:tcPr>
          <w:p w14:paraId="690E9F0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10,8</w:t>
            </w:r>
          </w:p>
        </w:tc>
        <w:tc>
          <w:tcPr>
            <w:tcW w:w="757" w:type="pct"/>
            <w:noWrap/>
            <w:vAlign w:val="center"/>
          </w:tcPr>
          <w:p w14:paraId="70F8383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64.546</w:t>
            </w:r>
          </w:p>
        </w:tc>
        <w:tc>
          <w:tcPr>
            <w:tcW w:w="757" w:type="pct"/>
            <w:noWrap/>
            <w:vAlign w:val="center"/>
          </w:tcPr>
          <w:p w14:paraId="7D90AFC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5.007</w:t>
            </w:r>
          </w:p>
        </w:tc>
        <w:tc>
          <w:tcPr>
            <w:tcW w:w="595" w:type="pct"/>
            <w:noWrap/>
            <w:vAlign w:val="center"/>
          </w:tcPr>
          <w:p w14:paraId="32B4486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7,2</w:t>
            </w:r>
          </w:p>
        </w:tc>
      </w:tr>
      <w:tr w:rsidR="00DB3CBC" w:rsidRPr="00A15A5C" w14:paraId="0E674908" w14:textId="77777777" w:rsidTr="00893850">
        <w:trPr>
          <w:trHeight w:val="320"/>
        </w:trPr>
        <w:tc>
          <w:tcPr>
            <w:tcW w:w="826" w:type="pct"/>
            <w:noWrap/>
            <w:vAlign w:val="center"/>
          </w:tcPr>
          <w:p w14:paraId="667262E1"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Friuli Venezia Giulia</w:t>
            </w:r>
          </w:p>
        </w:tc>
        <w:tc>
          <w:tcPr>
            <w:tcW w:w="596" w:type="pct"/>
            <w:noWrap/>
            <w:vAlign w:val="center"/>
          </w:tcPr>
          <w:p w14:paraId="4D484A4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145.473</w:t>
            </w:r>
          </w:p>
        </w:tc>
        <w:tc>
          <w:tcPr>
            <w:tcW w:w="712" w:type="pct"/>
            <w:noWrap/>
            <w:vAlign w:val="center"/>
          </w:tcPr>
          <w:p w14:paraId="6957296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16.064</w:t>
            </w:r>
          </w:p>
        </w:tc>
        <w:tc>
          <w:tcPr>
            <w:tcW w:w="757" w:type="pct"/>
            <w:vAlign w:val="center"/>
          </w:tcPr>
          <w:p w14:paraId="4FDC9F4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11,0</w:t>
            </w:r>
          </w:p>
        </w:tc>
        <w:tc>
          <w:tcPr>
            <w:tcW w:w="757" w:type="pct"/>
            <w:noWrap/>
            <w:vAlign w:val="center"/>
          </w:tcPr>
          <w:p w14:paraId="5DD628A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14.824</w:t>
            </w:r>
          </w:p>
        </w:tc>
        <w:tc>
          <w:tcPr>
            <w:tcW w:w="757" w:type="pct"/>
            <w:noWrap/>
            <w:vAlign w:val="center"/>
          </w:tcPr>
          <w:p w14:paraId="7BE15BD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1.240</w:t>
            </w:r>
          </w:p>
        </w:tc>
        <w:tc>
          <w:tcPr>
            <w:tcW w:w="595" w:type="pct"/>
            <w:noWrap/>
            <w:vAlign w:val="center"/>
          </w:tcPr>
          <w:p w14:paraId="0F8C24A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7,7</w:t>
            </w:r>
          </w:p>
        </w:tc>
      </w:tr>
      <w:tr w:rsidR="00DB3CBC" w:rsidRPr="00A15A5C" w14:paraId="739EDD22" w14:textId="77777777" w:rsidTr="00893850">
        <w:trPr>
          <w:trHeight w:val="320"/>
        </w:trPr>
        <w:tc>
          <w:tcPr>
            <w:tcW w:w="826" w:type="pct"/>
            <w:noWrap/>
            <w:vAlign w:val="center"/>
          </w:tcPr>
          <w:p w14:paraId="2B695F05"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Emilia-Romagna</w:t>
            </w:r>
          </w:p>
        </w:tc>
        <w:tc>
          <w:tcPr>
            <w:tcW w:w="596" w:type="pct"/>
            <w:noWrap/>
            <w:vAlign w:val="center"/>
          </w:tcPr>
          <w:p w14:paraId="046F159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583.135</w:t>
            </w:r>
          </w:p>
        </w:tc>
        <w:tc>
          <w:tcPr>
            <w:tcW w:w="712" w:type="pct"/>
            <w:noWrap/>
            <w:vAlign w:val="center"/>
          </w:tcPr>
          <w:p w14:paraId="349CF6D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67.025</w:t>
            </w:r>
          </w:p>
        </w:tc>
        <w:tc>
          <w:tcPr>
            <w:tcW w:w="757" w:type="pct"/>
            <w:vAlign w:val="center"/>
          </w:tcPr>
          <w:p w14:paraId="04B7331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11,5</w:t>
            </w:r>
          </w:p>
        </w:tc>
        <w:tc>
          <w:tcPr>
            <w:tcW w:w="757" w:type="pct"/>
            <w:noWrap/>
            <w:vAlign w:val="center"/>
          </w:tcPr>
          <w:p w14:paraId="032E97D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62.093</w:t>
            </w:r>
          </w:p>
        </w:tc>
        <w:tc>
          <w:tcPr>
            <w:tcW w:w="757" w:type="pct"/>
            <w:noWrap/>
            <w:vAlign w:val="center"/>
          </w:tcPr>
          <w:p w14:paraId="2D83372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4.932</w:t>
            </w:r>
          </w:p>
        </w:tc>
        <w:tc>
          <w:tcPr>
            <w:tcW w:w="595" w:type="pct"/>
            <w:noWrap/>
            <w:vAlign w:val="center"/>
          </w:tcPr>
          <w:p w14:paraId="1DE84B5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7,4</w:t>
            </w:r>
          </w:p>
        </w:tc>
      </w:tr>
      <w:tr w:rsidR="00DB3CBC" w:rsidRPr="00A15A5C" w14:paraId="253C0B49" w14:textId="77777777" w:rsidTr="00893850">
        <w:trPr>
          <w:trHeight w:val="320"/>
        </w:trPr>
        <w:tc>
          <w:tcPr>
            <w:tcW w:w="826" w:type="pct"/>
            <w:noWrap/>
            <w:vAlign w:val="center"/>
          </w:tcPr>
          <w:p w14:paraId="309658B7"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Toscana</w:t>
            </w:r>
          </w:p>
        </w:tc>
        <w:tc>
          <w:tcPr>
            <w:tcW w:w="596" w:type="pct"/>
            <w:noWrap/>
            <w:vAlign w:val="center"/>
          </w:tcPr>
          <w:p w14:paraId="12D6259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457.615</w:t>
            </w:r>
          </w:p>
        </w:tc>
        <w:tc>
          <w:tcPr>
            <w:tcW w:w="712" w:type="pct"/>
            <w:noWrap/>
            <w:vAlign w:val="center"/>
          </w:tcPr>
          <w:p w14:paraId="3C6D0C2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57.279</w:t>
            </w:r>
          </w:p>
        </w:tc>
        <w:tc>
          <w:tcPr>
            <w:tcW w:w="757" w:type="pct"/>
            <w:vAlign w:val="center"/>
          </w:tcPr>
          <w:p w14:paraId="3E77855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12,5</w:t>
            </w:r>
          </w:p>
        </w:tc>
        <w:tc>
          <w:tcPr>
            <w:tcW w:w="757" w:type="pct"/>
            <w:noWrap/>
            <w:vAlign w:val="center"/>
          </w:tcPr>
          <w:p w14:paraId="0A43204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54.537</w:t>
            </w:r>
          </w:p>
        </w:tc>
        <w:tc>
          <w:tcPr>
            <w:tcW w:w="757" w:type="pct"/>
            <w:noWrap/>
            <w:vAlign w:val="center"/>
          </w:tcPr>
          <w:p w14:paraId="4C3A8DE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2.742</w:t>
            </w:r>
          </w:p>
        </w:tc>
        <w:tc>
          <w:tcPr>
            <w:tcW w:w="595" w:type="pct"/>
            <w:noWrap/>
            <w:vAlign w:val="center"/>
          </w:tcPr>
          <w:p w14:paraId="7D619FC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4,8</w:t>
            </w:r>
          </w:p>
        </w:tc>
      </w:tr>
      <w:tr w:rsidR="00DB3CBC" w:rsidRPr="00A15A5C" w14:paraId="5E50B867" w14:textId="77777777" w:rsidTr="00893850">
        <w:trPr>
          <w:trHeight w:val="320"/>
        </w:trPr>
        <w:tc>
          <w:tcPr>
            <w:tcW w:w="826" w:type="pct"/>
            <w:noWrap/>
            <w:vAlign w:val="center"/>
          </w:tcPr>
          <w:p w14:paraId="0B89AF96"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Umbria</w:t>
            </w:r>
          </w:p>
        </w:tc>
        <w:tc>
          <w:tcPr>
            <w:tcW w:w="596" w:type="pct"/>
            <w:noWrap/>
            <w:vAlign w:val="center"/>
          </w:tcPr>
          <w:p w14:paraId="3C21CC9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108.760</w:t>
            </w:r>
          </w:p>
        </w:tc>
        <w:tc>
          <w:tcPr>
            <w:tcW w:w="712" w:type="pct"/>
            <w:noWrap/>
            <w:vAlign w:val="center"/>
          </w:tcPr>
          <w:p w14:paraId="77B247B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13.512</w:t>
            </w:r>
          </w:p>
        </w:tc>
        <w:tc>
          <w:tcPr>
            <w:tcW w:w="757" w:type="pct"/>
            <w:vAlign w:val="center"/>
          </w:tcPr>
          <w:p w14:paraId="0D7644A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12,4</w:t>
            </w:r>
          </w:p>
        </w:tc>
        <w:tc>
          <w:tcPr>
            <w:tcW w:w="757" w:type="pct"/>
            <w:noWrap/>
            <w:vAlign w:val="center"/>
          </w:tcPr>
          <w:p w14:paraId="0D344FE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10.066</w:t>
            </w:r>
          </w:p>
        </w:tc>
        <w:tc>
          <w:tcPr>
            <w:tcW w:w="757" w:type="pct"/>
            <w:noWrap/>
            <w:vAlign w:val="center"/>
          </w:tcPr>
          <w:p w14:paraId="2AE9075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3.446</w:t>
            </w:r>
          </w:p>
        </w:tc>
        <w:tc>
          <w:tcPr>
            <w:tcW w:w="595" w:type="pct"/>
            <w:noWrap/>
            <w:vAlign w:val="center"/>
          </w:tcPr>
          <w:p w14:paraId="48CC3D1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25,5</w:t>
            </w:r>
          </w:p>
        </w:tc>
      </w:tr>
      <w:tr w:rsidR="00DB3CBC" w:rsidRPr="00A15A5C" w14:paraId="4B69D986" w14:textId="77777777" w:rsidTr="00893850">
        <w:trPr>
          <w:trHeight w:val="320"/>
        </w:trPr>
        <w:tc>
          <w:tcPr>
            <w:tcW w:w="826" w:type="pct"/>
            <w:noWrap/>
            <w:vAlign w:val="center"/>
          </w:tcPr>
          <w:p w14:paraId="59BF3CD4"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Marche</w:t>
            </w:r>
          </w:p>
        </w:tc>
        <w:tc>
          <w:tcPr>
            <w:tcW w:w="596" w:type="pct"/>
            <w:noWrap/>
            <w:vAlign w:val="center"/>
          </w:tcPr>
          <w:p w14:paraId="188D830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191.725</w:t>
            </w:r>
          </w:p>
        </w:tc>
        <w:tc>
          <w:tcPr>
            <w:tcW w:w="712" w:type="pct"/>
            <w:noWrap/>
            <w:vAlign w:val="center"/>
          </w:tcPr>
          <w:p w14:paraId="07E99B7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24.220</w:t>
            </w:r>
          </w:p>
        </w:tc>
        <w:tc>
          <w:tcPr>
            <w:tcW w:w="757" w:type="pct"/>
            <w:vAlign w:val="center"/>
          </w:tcPr>
          <w:p w14:paraId="27FDBC8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12,6</w:t>
            </w:r>
          </w:p>
        </w:tc>
        <w:tc>
          <w:tcPr>
            <w:tcW w:w="757" w:type="pct"/>
            <w:noWrap/>
            <w:vAlign w:val="center"/>
          </w:tcPr>
          <w:p w14:paraId="4C359B5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20.603</w:t>
            </w:r>
          </w:p>
        </w:tc>
        <w:tc>
          <w:tcPr>
            <w:tcW w:w="757" w:type="pct"/>
            <w:noWrap/>
            <w:vAlign w:val="center"/>
          </w:tcPr>
          <w:p w14:paraId="3F9664A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3.617</w:t>
            </w:r>
          </w:p>
        </w:tc>
        <w:tc>
          <w:tcPr>
            <w:tcW w:w="595" w:type="pct"/>
            <w:noWrap/>
            <w:vAlign w:val="center"/>
          </w:tcPr>
          <w:p w14:paraId="07A1208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14,9</w:t>
            </w:r>
          </w:p>
        </w:tc>
      </w:tr>
      <w:tr w:rsidR="00DB3CBC" w:rsidRPr="00A15A5C" w14:paraId="562EE970" w14:textId="77777777" w:rsidTr="00893850">
        <w:trPr>
          <w:trHeight w:val="320"/>
        </w:trPr>
        <w:tc>
          <w:tcPr>
            <w:tcW w:w="826" w:type="pct"/>
            <w:noWrap/>
            <w:vAlign w:val="center"/>
          </w:tcPr>
          <w:p w14:paraId="36CAB489"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Lazio</w:t>
            </w:r>
          </w:p>
        </w:tc>
        <w:tc>
          <w:tcPr>
            <w:tcW w:w="596" w:type="pct"/>
            <w:noWrap/>
            <w:vAlign w:val="center"/>
          </w:tcPr>
          <w:p w14:paraId="197CB0D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767.529</w:t>
            </w:r>
          </w:p>
        </w:tc>
        <w:tc>
          <w:tcPr>
            <w:tcW w:w="712" w:type="pct"/>
            <w:noWrap/>
            <w:vAlign w:val="center"/>
          </w:tcPr>
          <w:p w14:paraId="5F99872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115.545</w:t>
            </w:r>
          </w:p>
        </w:tc>
        <w:tc>
          <w:tcPr>
            <w:tcW w:w="757" w:type="pct"/>
            <w:vAlign w:val="center"/>
          </w:tcPr>
          <w:p w14:paraId="1FE34CA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15,1</w:t>
            </w:r>
          </w:p>
        </w:tc>
        <w:tc>
          <w:tcPr>
            <w:tcW w:w="757" w:type="pct"/>
            <w:noWrap/>
            <w:vAlign w:val="center"/>
          </w:tcPr>
          <w:p w14:paraId="6E002F7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110.748</w:t>
            </w:r>
          </w:p>
        </w:tc>
        <w:tc>
          <w:tcPr>
            <w:tcW w:w="757" w:type="pct"/>
            <w:noWrap/>
            <w:vAlign w:val="center"/>
          </w:tcPr>
          <w:p w14:paraId="182A5DD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4.797</w:t>
            </w:r>
          </w:p>
        </w:tc>
        <w:tc>
          <w:tcPr>
            <w:tcW w:w="595" w:type="pct"/>
            <w:noWrap/>
            <w:vAlign w:val="center"/>
          </w:tcPr>
          <w:p w14:paraId="2C5F117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4,2</w:t>
            </w:r>
          </w:p>
        </w:tc>
      </w:tr>
      <w:tr w:rsidR="00DB3CBC" w:rsidRPr="00A15A5C" w14:paraId="2A033E4F" w14:textId="77777777" w:rsidTr="00893850">
        <w:trPr>
          <w:trHeight w:val="320"/>
        </w:trPr>
        <w:tc>
          <w:tcPr>
            <w:tcW w:w="826" w:type="pct"/>
            <w:noWrap/>
            <w:vAlign w:val="center"/>
          </w:tcPr>
          <w:p w14:paraId="60BE3F48" w14:textId="77777777" w:rsidR="00DB3CBC" w:rsidRPr="00A15A5C" w:rsidRDefault="00893850" w:rsidP="00893850">
            <w:pPr>
              <w:rPr>
                <w:rFonts w:ascii="Arial" w:hAnsi="Arial" w:cs="Arial"/>
                <w:b/>
                <w:bCs/>
                <w:color w:val="000000"/>
                <w:sz w:val="16"/>
                <w:szCs w:val="16"/>
              </w:rPr>
            </w:pPr>
            <w:r w:rsidRPr="00A15A5C">
              <w:rPr>
                <w:rFonts w:ascii="Arial" w:hAnsi="Arial" w:cs="Arial"/>
                <w:b/>
                <w:bCs/>
                <w:color w:val="000000"/>
                <w:sz w:val="16"/>
                <w:szCs w:val="16"/>
              </w:rPr>
              <w:t>Mezzogiorno</w:t>
            </w:r>
          </w:p>
        </w:tc>
        <w:tc>
          <w:tcPr>
            <w:tcW w:w="596" w:type="pct"/>
            <w:noWrap/>
            <w:vAlign w:val="center"/>
          </w:tcPr>
          <w:p w14:paraId="7D8EA5F0"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2.725.319</w:t>
            </w:r>
          </w:p>
        </w:tc>
        <w:tc>
          <w:tcPr>
            <w:tcW w:w="712" w:type="pct"/>
            <w:noWrap/>
            <w:vAlign w:val="center"/>
          </w:tcPr>
          <w:p w14:paraId="6480E0E5"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377.877</w:t>
            </w:r>
          </w:p>
        </w:tc>
        <w:tc>
          <w:tcPr>
            <w:tcW w:w="757" w:type="pct"/>
            <w:vAlign w:val="center"/>
          </w:tcPr>
          <w:p w14:paraId="3F40A302"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13,9</w:t>
            </w:r>
          </w:p>
        </w:tc>
        <w:tc>
          <w:tcPr>
            <w:tcW w:w="757" w:type="pct"/>
            <w:noWrap/>
            <w:vAlign w:val="center"/>
          </w:tcPr>
          <w:p w14:paraId="2DBA5A32"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332.905</w:t>
            </w:r>
          </w:p>
        </w:tc>
        <w:tc>
          <w:tcPr>
            <w:tcW w:w="757" w:type="pct"/>
            <w:noWrap/>
            <w:vAlign w:val="center"/>
          </w:tcPr>
          <w:p w14:paraId="6122FB2A"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44.972</w:t>
            </w:r>
          </w:p>
        </w:tc>
        <w:tc>
          <w:tcPr>
            <w:tcW w:w="595" w:type="pct"/>
            <w:noWrap/>
            <w:vAlign w:val="center"/>
          </w:tcPr>
          <w:p w14:paraId="160A73A5"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11,9</w:t>
            </w:r>
          </w:p>
        </w:tc>
      </w:tr>
      <w:tr w:rsidR="00DB3CBC" w:rsidRPr="00A15A5C" w14:paraId="28EF54D0" w14:textId="77777777" w:rsidTr="00893850">
        <w:trPr>
          <w:trHeight w:val="320"/>
        </w:trPr>
        <w:tc>
          <w:tcPr>
            <w:tcW w:w="826" w:type="pct"/>
            <w:noWrap/>
            <w:vAlign w:val="center"/>
          </w:tcPr>
          <w:p w14:paraId="597A2D78"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Abruzzo</w:t>
            </w:r>
          </w:p>
        </w:tc>
        <w:tc>
          <w:tcPr>
            <w:tcW w:w="596" w:type="pct"/>
            <w:noWrap/>
            <w:vAlign w:val="center"/>
          </w:tcPr>
          <w:p w14:paraId="3F2F4D7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161.223</w:t>
            </w:r>
          </w:p>
        </w:tc>
        <w:tc>
          <w:tcPr>
            <w:tcW w:w="712" w:type="pct"/>
            <w:noWrap/>
            <w:vAlign w:val="center"/>
          </w:tcPr>
          <w:p w14:paraId="14BB347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23.103</w:t>
            </w:r>
          </w:p>
        </w:tc>
        <w:tc>
          <w:tcPr>
            <w:tcW w:w="757" w:type="pct"/>
            <w:vAlign w:val="center"/>
          </w:tcPr>
          <w:p w14:paraId="6CD833C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14,3</w:t>
            </w:r>
          </w:p>
        </w:tc>
        <w:tc>
          <w:tcPr>
            <w:tcW w:w="757" w:type="pct"/>
            <w:noWrap/>
            <w:vAlign w:val="center"/>
          </w:tcPr>
          <w:p w14:paraId="3D468FB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17.996</w:t>
            </w:r>
          </w:p>
        </w:tc>
        <w:tc>
          <w:tcPr>
            <w:tcW w:w="757" w:type="pct"/>
            <w:noWrap/>
            <w:vAlign w:val="center"/>
          </w:tcPr>
          <w:p w14:paraId="57042B3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5.107</w:t>
            </w:r>
          </w:p>
        </w:tc>
        <w:tc>
          <w:tcPr>
            <w:tcW w:w="595" w:type="pct"/>
            <w:noWrap/>
            <w:vAlign w:val="center"/>
          </w:tcPr>
          <w:p w14:paraId="55FB68C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22,1</w:t>
            </w:r>
          </w:p>
        </w:tc>
      </w:tr>
      <w:tr w:rsidR="00DB3CBC" w:rsidRPr="00A15A5C" w14:paraId="28D82FE5" w14:textId="77777777" w:rsidTr="00893850">
        <w:trPr>
          <w:trHeight w:val="320"/>
        </w:trPr>
        <w:tc>
          <w:tcPr>
            <w:tcW w:w="826" w:type="pct"/>
            <w:noWrap/>
            <w:vAlign w:val="center"/>
          </w:tcPr>
          <w:p w14:paraId="00958416"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Molise</w:t>
            </w:r>
          </w:p>
        </w:tc>
        <w:tc>
          <w:tcPr>
            <w:tcW w:w="596" w:type="pct"/>
            <w:noWrap/>
            <w:vAlign w:val="center"/>
          </w:tcPr>
          <w:p w14:paraId="02F8EF4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34.355</w:t>
            </w:r>
          </w:p>
        </w:tc>
        <w:tc>
          <w:tcPr>
            <w:tcW w:w="712" w:type="pct"/>
            <w:noWrap/>
            <w:vAlign w:val="center"/>
          </w:tcPr>
          <w:p w14:paraId="23001B8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4.589</w:t>
            </w:r>
          </w:p>
        </w:tc>
        <w:tc>
          <w:tcPr>
            <w:tcW w:w="757" w:type="pct"/>
            <w:vAlign w:val="center"/>
          </w:tcPr>
          <w:p w14:paraId="562C2FB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13,4</w:t>
            </w:r>
          </w:p>
        </w:tc>
        <w:tc>
          <w:tcPr>
            <w:tcW w:w="757" w:type="pct"/>
            <w:noWrap/>
            <w:vAlign w:val="center"/>
          </w:tcPr>
          <w:p w14:paraId="782F56B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2.747</w:t>
            </w:r>
          </w:p>
        </w:tc>
        <w:tc>
          <w:tcPr>
            <w:tcW w:w="757" w:type="pct"/>
            <w:noWrap/>
            <w:vAlign w:val="center"/>
          </w:tcPr>
          <w:p w14:paraId="4B1F44F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1.842</w:t>
            </w:r>
          </w:p>
        </w:tc>
        <w:tc>
          <w:tcPr>
            <w:tcW w:w="595" w:type="pct"/>
            <w:noWrap/>
            <w:vAlign w:val="center"/>
          </w:tcPr>
          <w:p w14:paraId="09A5631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40,1</w:t>
            </w:r>
          </w:p>
        </w:tc>
      </w:tr>
      <w:tr w:rsidR="00DB3CBC" w:rsidRPr="00A15A5C" w14:paraId="4AD7E236" w14:textId="77777777" w:rsidTr="00893850">
        <w:trPr>
          <w:trHeight w:val="320"/>
        </w:trPr>
        <w:tc>
          <w:tcPr>
            <w:tcW w:w="826" w:type="pct"/>
            <w:noWrap/>
            <w:vAlign w:val="center"/>
          </w:tcPr>
          <w:p w14:paraId="08B22E4D"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Campania</w:t>
            </w:r>
          </w:p>
        </w:tc>
        <w:tc>
          <w:tcPr>
            <w:tcW w:w="596" w:type="pct"/>
            <w:noWrap/>
            <w:vAlign w:val="center"/>
          </w:tcPr>
          <w:p w14:paraId="36A6E5B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832.055</w:t>
            </w:r>
          </w:p>
        </w:tc>
        <w:tc>
          <w:tcPr>
            <w:tcW w:w="712" w:type="pct"/>
            <w:noWrap/>
            <w:vAlign w:val="center"/>
          </w:tcPr>
          <w:p w14:paraId="3BC84C1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121.948</w:t>
            </w:r>
          </w:p>
        </w:tc>
        <w:tc>
          <w:tcPr>
            <w:tcW w:w="757" w:type="pct"/>
            <w:vAlign w:val="center"/>
          </w:tcPr>
          <w:p w14:paraId="0E1CE72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14,7</w:t>
            </w:r>
          </w:p>
        </w:tc>
        <w:tc>
          <w:tcPr>
            <w:tcW w:w="757" w:type="pct"/>
            <w:noWrap/>
            <w:vAlign w:val="center"/>
          </w:tcPr>
          <w:p w14:paraId="05DD7FB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110.401</w:t>
            </w:r>
          </w:p>
        </w:tc>
        <w:tc>
          <w:tcPr>
            <w:tcW w:w="757" w:type="pct"/>
            <w:noWrap/>
            <w:vAlign w:val="center"/>
          </w:tcPr>
          <w:p w14:paraId="1D7A601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11.547</w:t>
            </w:r>
          </w:p>
        </w:tc>
        <w:tc>
          <w:tcPr>
            <w:tcW w:w="595" w:type="pct"/>
            <w:noWrap/>
            <w:vAlign w:val="center"/>
          </w:tcPr>
          <w:p w14:paraId="7AC3F69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9,5</w:t>
            </w:r>
          </w:p>
        </w:tc>
      </w:tr>
      <w:tr w:rsidR="00DB3CBC" w:rsidRPr="00A15A5C" w14:paraId="322A0ED7" w14:textId="77777777" w:rsidTr="00893850">
        <w:trPr>
          <w:trHeight w:val="320"/>
        </w:trPr>
        <w:tc>
          <w:tcPr>
            <w:tcW w:w="826" w:type="pct"/>
            <w:noWrap/>
            <w:vAlign w:val="center"/>
          </w:tcPr>
          <w:p w14:paraId="570E060F"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Puglia</w:t>
            </w:r>
          </w:p>
        </w:tc>
        <w:tc>
          <w:tcPr>
            <w:tcW w:w="596" w:type="pct"/>
            <w:noWrap/>
            <w:vAlign w:val="center"/>
          </w:tcPr>
          <w:p w14:paraId="500B627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520.560</w:t>
            </w:r>
          </w:p>
        </w:tc>
        <w:tc>
          <w:tcPr>
            <w:tcW w:w="712" w:type="pct"/>
            <w:noWrap/>
            <w:vAlign w:val="center"/>
          </w:tcPr>
          <w:p w14:paraId="5FCE249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71.312</w:t>
            </w:r>
          </w:p>
        </w:tc>
        <w:tc>
          <w:tcPr>
            <w:tcW w:w="757" w:type="pct"/>
            <w:vAlign w:val="center"/>
          </w:tcPr>
          <w:p w14:paraId="025F4E4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13,7</w:t>
            </w:r>
          </w:p>
        </w:tc>
        <w:tc>
          <w:tcPr>
            <w:tcW w:w="757" w:type="pct"/>
            <w:noWrap/>
            <w:vAlign w:val="center"/>
          </w:tcPr>
          <w:p w14:paraId="1D4B29A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63.539</w:t>
            </w:r>
          </w:p>
        </w:tc>
        <w:tc>
          <w:tcPr>
            <w:tcW w:w="757" w:type="pct"/>
            <w:noWrap/>
            <w:vAlign w:val="center"/>
          </w:tcPr>
          <w:p w14:paraId="6789AB0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7.773</w:t>
            </w:r>
          </w:p>
        </w:tc>
        <w:tc>
          <w:tcPr>
            <w:tcW w:w="595" w:type="pct"/>
            <w:noWrap/>
            <w:vAlign w:val="center"/>
          </w:tcPr>
          <w:p w14:paraId="2774428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10,9</w:t>
            </w:r>
          </w:p>
        </w:tc>
      </w:tr>
      <w:tr w:rsidR="00DB3CBC" w:rsidRPr="00A15A5C" w14:paraId="40982DF1" w14:textId="77777777" w:rsidTr="00893850">
        <w:trPr>
          <w:trHeight w:val="320"/>
        </w:trPr>
        <w:tc>
          <w:tcPr>
            <w:tcW w:w="826" w:type="pct"/>
            <w:noWrap/>
            <w:vAlign w:val="center"/>
          </w:tcPr>
          <w:p w14:paraId="12880C00"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Basilicata</w:t>
            </w:r>
          </w:p>
        </w:tc>
        <w:tc>
          <w:tcPr>
            <w:tcW w:w="596" w:type="pct"/>
            <w:noWrap/>
            <w:vAlign w:val="center"/>
          </w:tcPr>
          <w:p w14:paraId="084110D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66.379</w:t>
            </w:r>
          </w:p>
        </w:tc>
        <w:tc>
          <w:tcPr>
            <w:tcW w:w="712" w:type="pct"/>
            <w:noWrap/>
            <w:vAlign w:val="center"/>
          </w:tcPr>
          <w:p w14:paraId="432F4AA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8.873</w:t>
            </w:r>
          </w:p>
        </w:tc>
        <w:tc>
          <w:tcPr>
            <w:tcW w:w="757" w:type="pct"/>
            <w:vAlign w:val="center"/>
          </w:tcPr>
          <w:p w14:paraId="085037B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13,4</w:t>
            </w:r>
          </w:p>
        </w:tc>
        <w:tc>
          <w:tcPr>
            <w:tcW w:w="757" w:type="pct"/>
            <w:noWrap/>
            <w:vAlign w:val="center"/>
          </w:tcPr>
          <w:p w14:paraId="08757CA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6.311</w:t>
            </w:r>
          </w:p>
        </w:tc>
        <w:tc>
          <w:tcPr>
            <w:tcW w:w="757" w:type="pct"/>
            <w:noWrap/>
            <w:vAlign w:val="center"/>
          </w:tcPr>
          <w:p w14:paraId="1E3B2BF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2.562</w:t>
            </w:r>
          </w:p>
        </w:tc>
        <w:tc>
          <w:tcPr>
            <w:tcW w:w="595" w:type="pct"/>
            <w:noWrap/>
            <w:vAlign w:val="center"/>
          </w:tcPr>
          <w:p w14:paraId="5F11954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28,9</w:t>
            </w:r>
          </w:p>
        </w:tc>
      </w:tr>
      <w:tr w:rsidR="00DB3CBC" w:rsidRPr="00A15A5C" w14:paraId="766B285F" w14:textId="77777777" w:rsidTr="00893850">
        <w:trPr>
          <w:trHeight w:val="320"/>
        </w:trPr>
        <w:tc>
          <w:tcPr>
            <w:tcW w:w="826" w:type="pct"/>
            <w:noWrap/>
            <w:vAlign w:val="center"/>
          </w:tcPr>
          <w:p w14:paraId="29274108"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Calabria</w:t>
            </w:r>
          </w:p>
        </w:tc>
        <w:tc>
          <w:tcPr>
            <w:tcW w:w="596" w:type="pct"/>
            <w:noWrap/>
            <w:vAlign w:val="center"/>
          </w:tcPr>
          <w:p w14:paraId="61F6988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252.792</w:t>
            </w:r>
          </w:p>
        </w:tc>
        <w:tc>
          <w:tcPr>
            <w:tcW w:w="712" w:type="pct"/>
            <w:noWrap/>
            <w:vAlign w:val="center"/>
          </w:tcPr>
          <w:p w14:paraId="4C45B3C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35.787</w:t>
            </w:r>
          </w:p>
        </w:tc>
        <w:tc>
          <w:tcPr>
            <w:tcW w:w="757" w:type="pct"/>
            <w:vAlign w:val="center"/>
          </w:tcPr>
          <w:p w14:paraId="290FB3F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14,2</w:t>
            </w:r>
          </w:p>
        </w:tc>
        <w:tc>
          <w:tcPr>
            <w:tcW w:w="757" w:type="pct"/>
            <w:noWrap/>
            <w:vAlign w:val="center"/>
          </w:tcPr>
          <w:p w14:paraId="5A78B5B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28.324</w:t>
            </w:r>
          </w:p>
        </w:tc>
        <w:tc>
          <w:tcPr>
            <w:tcW w:w="757" w:type="pct"/>
            <w:noWrap/>
            <w:vAlign w:val="center"/>
          </w:tcPr>
          <w:p w14:paraId="63DF3DC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7.463</w:t>
            </w:r>
          </w:p>
        </w:tc>
        <w:tc>
          <w:tcPr>
            <w:tcW w:w="595" w:type="pct"/>
            <w:noWrap/>
            <w:vAlign w:val="center"/>
          </w:tcPr>
          <w:p w14:paraId="0651425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20,9</w:t>
            </w:r>
          </w:p>
        </w:tc>
      </w:tr>
      <w:tr w:rsidR="00DB3CBC" w:rsidRPr="00A15A5C" w14:paraId="7DC55F41" w14:textId="77777777" w:rsidTr="00893850">
        <w:trPr>
          <w:trHeight w:val="320"/>
        </w:trPr>
        <w:tc>
          <w:tcPr>
            <w:tcW w:w="826" w:type="pct"/>
            <w:noWrap/>
            <w:vAlign w:val="center"/>
          </w:tcPr>
          <w:p w14:paraId="07F8AEC4"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Sicilia</w:t>
            </w:r>
          </w:p>
        </w:tc>
        <w:tc>
          <w:tcPr>
            <w:tcW w:w="596" w:type="pct"/>
            <w:noWrap/>
            <w:vAlign w:val="center"/>
          </w:tcPr>
          <w:p w14:paraId="6A55383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676.331</w:t>
            </w:r>
          </w:p>
        </w:tc>
        <w:tc>
          <w:tcPr>
            <w:tcW w:w="712" w:type="pct"/>
            <w:noWrap/>
            <w:vAlign w:val="center"/>
          </w:tcPr>
          <w:p w14:paraId="6259A95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89.779</w:t>
            </w:r>
          </w:p>
        </w:tc>
        <w:tc>
          <w:tcPr>
            <w:tcW w:w="757" w:type="pct"/>
            <w:vAlign w:val="center"/>
          </w:tcPr>
          <w:p w14:paraId="24C2138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13,3</w:t>
            </w:r>
          </w:p>
        </w:tc>
        <w:tc>
          <w:tcPr>
            <w:tcW w:w="757" w:type="pct"/>
            <w:noWrap/>
            <w:vAlign w:val="center"/>
          </w:tcPr>
          <w:p w14:paraId="4474AA6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83.187</w:t>
            </w:r>
          </w:p>
        </w:tc>
        <w:tc>
          <w:tcPr>
            <w:tcW w:w="757" w:type="pct"/>
            <w:noWrap/>
            <w:vAlign w:val="center"/>
          </w:tcPr>
          <w:p w14:paraId="4AB9919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6.592</w:t>
            </w:r>
          </w:p>
        </w:tc>
        <w:tc>
          <w:tcPr>
            <w:tcW w:w="595" w:type="pct"/>
            <w:noWrap/>
            <w:vAlign w:val="center"/>
          </w:tcPr>
          <w:p w14:paraId="4C1286A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7,3</w:t>
            </w:r>
          </w:p>
        </w:tc>
      </w:tr>
      <w:tr w:rsidR="00DB3CBC" w:rsidRPr="00A15A5C" w14:paraId="4B17CCCE" w14:textId="77777777" w:rsidTr="00893850">
        <w:trPr>
          <w:trHeight w:val="320"/>
        </w:trPr>
        <w:tc>
          <w:tcPr>
            <w:tcW w:w="826" w:type="pct"/>
            <w:noWrap/>
            <w:vAlign w:val="center"/>
          </w:tcPr>
          <w:p w14:paraId="17E43A99"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Sardegna</w:t>
            </w:r>
          </w:p>
        </w:tc>
        <w:tc>
          <w:tcPr>
            <w:tcW w:w="596" w:type="pct"/>
            <w:noWrap/>
            <w:vAlign w:val="center"/>
          </w:tcPr>
          <w:p w14:paraId="29A8CE5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181.624</w:t>
            </w:r>
          </w:p>
        </w:tc>
        <w:tc>
          <w:tcPr>
            <w:tcW w:w="712" w:type="pct"/>
            <w:noWrap/>
            <w:vAlign w:val="center"/>
          </w:tcPr>
          <w:p w14:paraId="4C00690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22.486</w:t>
            </w:r>
          </w:p>
        </w:tc>
        <w:tc>
          <w:tcPr>
            <w:tcW w:w="757" w:type="pct"/>
            <w:vAlign w:val="center"/>
          </w:tcPr>
          <w:p w14:paraId="46CAC6D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12,4</w:t>
            </w:r>
          </w:p>
        </w:tc>
        <w:tc>
          <w:tcPr>
            <w:tcW w:w="757" w:type="pct"/>
            <w:noWrap/>
            <w:vAlign w:val="center"/>
          </w:tcPr>
          <w:p w14:paraId="6C3B7CB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20.400</w:t>
            </w:r>
          </w:p>
        </w:tc>
        <w:tc>
          <w:tcPr>
            <w:tcW w:w="757" w:type="pct"/>
            <w:noWrap/>
            <w:vAlign w:val="center"/>
          </w:tcPr>
          <w:p w14:paraId="412BC14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2.086</w:t>
            </w:r>
          </w:p>
        </w:tc>
        <w:tc>
          <w:tcPr>
            <w:tcW w:w="595" w:type="pct"/>
            <w:noWrap/>
            <w:vAlign w:val="center"/>
          </w:tcPr>
          <w:p w14:paraId="46A1DFE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9,3</w:t>
            </w:r>
          </w:p>
        </w:tc>
      </w:tr>
      <w:tr w:rsidR="00DB3CBC" w:rsidRPr="00A15A5C" w14:paraId="582F950E" w14:textId="77777777" w:rsidTr="00893850">
        <w:trPr>
          <w:trHeight w:val="320"/>
        </w:trPr>
        <w:tc>
          <w:tcPr>
            <w:tcW w:w="826" w:type="pct"/>
            <w:tcBorders>
              <w:bottom w:val="single" w:sz="4" w:space="0" w:color="auto"/>
            </w:tcBorders>
            <w:noWrap/>
            <w:vAlign w:val="center"/>
          </w:tcPr>
          <w:p w14:paraId="6B18C889" w14:textId="77777777" w:rsidR="00DB3CBC" w:rsidRPr="00A15A5C" w:rsidRDefault="00DB3CBC" w:rsidP="00893850">
            <w:pPr>
              <w:rPr>
                <w:rFonts w:ascii="Arial" w:hAnsi="Arial" w:cs="Arial"/>
                <w:color w:val="000000"/>
                <w:sz w:val="16"/>
                <w:szCs w:val="16"/>
              </w:rPr>
            </w:pPr>
            <w:r w:rsidRPr="00A15A5C">
              <w:rPr>
                <w:rFonts w:ascii="Arial" w:hAnsi="Arial" w:cs="Arial"/>
                <w:b/>
                <w:bCs/>
                <w:color w:val="000000"/>
                <w:sz w:val="16"/>
                <w:szCs w:val="16"/>
              </w:rPr>
              <w:t>Italia</w:t>
            </w:r>
          </w:p>
        </w:tc>
        <w:tc>
          <w:tcPr>
            <w:tcW w:w="596" w:type="pct"/>
            <w:tcBorders>
              <w:bottom w:val="single" w:sz="4" w:space="0" w:color="auto"/>
            </w:tcBorders>
            <w:noWrap/>
            <w:vAlign w:val="center"/>
          </w:tcPr>
          <w:p w14:paraId="30D21779"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7.871.887</w:t>
            </w:r>
          </w:p>
        </w:tc>
        <w:tc>
          <w:tcPr>
            <w:tcW w:w="712" w:type="pct"/>
            <w:tcBorders>
              <w:bottom w:val="single" w:sz="4" w:space="0" w:color="auto"/>
            </w:tcBorders>
            <w:noWrap/>
            <w:vAlign w:val="center"/>
          </w:tcPr>
          <w:p w14:paraId="06DB3F6C" w14:textId="77777777" w:rsidR="00DB3CBC" w:rsidRPr="00A15A5C" w:rsidRDefault="00DB3CBC" w:rsidP="00893850">
            <w:pPr>
              <w:jc w:val="center"/>
              <w:rPr>
                <w:rFonts w:ascii="Arial" w:hAnsi="Arial" w:cs="Arial"/>
                <w:color w:val="000000"/>
                <w:sz w:val="16"/>
                <w:szCs w:val="16"/>
              </w:rPr>
            </w:pPr>
            <w:r w:rsidRPr="00A15A5C">
              <w:rPr>
                <w:rFonts w:ascii="Arial" w:hAnsi="Arial" w:cs="Arial"/>
                <w:b/>
                <w:bCs/>
                <w:color w:val="000000"/>
                <w:sz w:val="16"/>
                <w:szCs w:val="16"/>
              </w:rPr>
              <w:t>1.009.904</w:t>
            </w:r>
          </w:p>
        </w:tc>
        <w:tc>
          <w:tcPr>
            <w:tcW w:w="757" w:type="pct"/>
            <w:tcBorders>
              <w:bottom w:val="single" w:sz="4" w:space="0" w:color="auto"/>
            </w:tcBorders>
            <w:vAlign w:val="center"/>
          </w:tcPr>
          <w:p w14:paraId="241CCA22"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12,8</w:t>
            </w:r>
          </w:p>
        </w:tc>
        <w:tc>
          <w:tcPr>
            <w:tcW w:w="757" w:type="pct"/>
            <w:tcBorders>
              <w:bottom w:val="single" w:sz="4" w:space="0" w:color="auto"/>
            </w:tcBorders>
            <w:noWrap/>
            <w:vAlign w:val="center"/>
          </w:tcPr>
          <w:p w14:paraId="7F834128" w14:textId="77777777" w:rsidR="00DB3CBC" w:rsidRPr="00A15A5C" w:rsidRDefault="00DB3CBC" w:rsidP="00893850">
            <w:pPr>
              <w:jc w:val="center"/>
              <w:rPr>
                <w:rFonts w:ascii="Arial" w:hAnsi="Arial" w:cs="Arial"/>
                <w:color w:val="000000"/>
                <w:sz w:val="16"/>
                <w:szCs w:val="16"/>
              </w:rPr>
            </w:pPr>
            <w:r w:rsidRPr="00A15A5C">
              <w:rPr>
                <w:rFonts w:ascii="Arial" w:hAnsi="Arial" w:cs="Arial"/>
                <w:b/>
                <w:bCs/>
                <w:color w:val="000000"/>
                <w:sz w:val="16"/>
                <w:szCs w:val="16"/>
              </w:rPr>
              <w:t>921.491</w:t>
            </w:r>
          </w:p>
        </w:tc>
        <w:tc>
          <w:tcPr>
            <w:tcW w:w="757" w:type="pct"/>
            <w:tcBorders>
              <w:bottom w:val="single" w:sz="4" w:space="0" w:color="auto"/>
            </w:tcBorders>
            <w:noWrap/>
            <w:vAlign w:val="center"/>
          </w:tcPr>
          <w:p w14:paraId="69678E52" w14:textId="77777777" w:rsidR="00DB3CBC" w:rsidRPr="00A15A5C" w:rsidRDefault="00DB3CBC" w:rsidP="00893850">
            <w:pPr>
              <w:jc w:val="center"/>
              <w:rPr>
                <w:rFonts w:ascii="Arial" w:hAnsi="Arial" w:cs="Arial"/>
                <w:color w:val="000000"/>
                <w:sz w:val="16"/>
                <w:szCs w:val="16"/>
              </w:rPr>
            </w:pPr>
            <w:r w:rsidRPr="00A15A5C">
              <w:rPr>
                <w:rFonts w:ascii="Arial" w:hAnsi="Arial" w:cs="Arial"/>
                <w:b/>
                <w:bCs/>
                <w:color w:val="000000"/>
                <w:sz w:val="16"/>
                <w:szCs w:val="16"/>
              </w:rPr>
              <w:t>88.413</w:t>
            </w:r>
          </w:p>
        </w:tc>
        <w:tc>
          <w:tcPr>
            <w:tcW w:w="595" w:type="pct"/>
            <w:tcBorders>
              <w:bottom w:val="single" w:sz="4" w:space="0" w:color="auto"/>
            </w:tcBorders>
            <w:noWrap/>
            <w:vAlign w:val="center"/>
          </w:tcPr>
          <w:p w14:paraId="44CBC41E" w14:textId="77777777" w:rsidR="00DB3CBC" w:rsidRPr="00A15A5C" w:rsidRDefault="00DB3CBC" w:rsidP="00893850">
            <w:pPr>
              <w:jc w:val="center"/>
              <w:rPr>
                <w:rFonts w:ascii="Arial" w:hAnsi="Arial" w:cs="Arial"/>
                <w:color w:val="000000"/>
                <w:sz w:val="16"/>
                <w:szCs w:val="16"/>
              </w:rPr>
            </w:pPr>
            <w:r w:rsidRPr="00A15A5C">
              <w:rPr>
                <w:rFonts w:ascii="Arial" w:hAnsi="Arial" w:cs="Arial"/>
                <w:b/>
                <w:bCs/>
                <w:color w:val="000000"/>
                <w:sz w:val="16"/>
                <w:szCs w:val="16"/>
              </w:rPr>
              <w:t>8,8</w:t>
            </w:r>
          </w:p>
        </w:tc>
      </w:tr>
    </w:tbl>
    <w:p w14:paraId="347611FA" w14:textId="77777777" w:rsidR="00DB3CBC" w:rsidRPr="00A15A5C" w:rsidRDefault="00DB3CBC" w:rsidP="00DB3CBC">
      <w:pPr>
        <w:spacing w:line="360" w:lineRule="auto"/>
        <w:jc w:val="both"/>
        <w:rPr>
          <w:rFonts w:ascii="Arial" w:hAnsi="Arial" w:cs="Arial"/>
          <w:b/>
          <w:bCs/>
          <w:sz w:val="20"/>
          <w:szCs w:val="20"/>
        </w:rPr>
      </w:pPr>
      <w:r w:rsidRPr="00A15A5C">
        <w:rPr>
          <w:rFonts w:ascii="Arial" w:hAnsi="Arial" w:cs="Arial"/>
          <w:b/>
          <w:bCs/>
          <w:sz w:val="20"/>
          <w:szCs w:val="20"/>
        </w:rPr>
        <w:t xml:space="preserve">Tabella 1. </w:t>
      </w:r>
      <w:r w:rsidRPr="00A15A5C">
        <w:rPr>
          <w:rFonts w:ascii="Arial" w:hAnsi="Arial" w:cs="Arial"/>
          <w:sz w:val="20"/>
          <w:szCs w:val="20"/>
        </w:rPr>
        <w:t>Ospedalizzazioni e indice di fuga in Italia nella popolazione 0-14 (2019)</w:t>
      </w:r>
    </w:p>
    <w:p w14:paraId="309C8022" w14:textId="77777777" w:rsidR="00DB3CBC" w:rsidRPr="00A15A5C" w:rsidRDefault="00DB3CBC">
      <w:pPr>
        <w:rPr>
          <w:rFonts w:ascii="Arial" w:eastAsia="Arial" w:hAnsi="Arial" w:cs="Arial"/>
          <w:b/>
          <w:sz w:val="24"/>
          <w:szCs w:val="24"/>
        </w:rPr>
      </w:pPr>
      <w:r w:rsidRPr="00A15A5C">
        <w:rPr>
          <w:rFonts w:ascii="Arial" w:eastAsia="Arial" w:hAnsi="Arial" w:cs="Arial"/>
          <w:b/>
          <w:sz w:val="24"/>
          <w:szCs w:val="24"/>
        </w:rPr>
        <w:br w:type="page"/>
      </w:r>
    </w:p>
    <w:tbl>
      <w:tblPr>
        <w:tblpPr w:leftFromText="141" w:rightFromText="141" w:vertAnchor="text" w:horzAnchor="margin" w:tblpY="299"/>
        <w:tblW w:w="5304" w:type="pct"/>
        <w:tblBorders>
          <w:bottom w:val="single" w:sz="4" w:space="0" w:color="auto"/>
        </w:tblBorders>
        <w:tblLayout w:type="fixed"/>
        <w:tblCellMar>
          <w:left w:w="70" w:type="dxa"/>
          <w:right w:w="70" w:type="dxa"/>
        </w:tblCellMar>
        <w:tblLook w:val="04A0" w:firstRow="1" w:lastRow="0" w:firstColumn="1" w:lastColumn="0" w:noHBand="0" w:noVBand="1"/>
      </w:tblPr>
      <w:tblGrid>
        <w:gridCol w:w="1752"/>
        <w:gridCol w:w="1315"/>
        <w:gridCol w:w="1752"/>
        <w:gridCol w:w="1898"/>
        <w:gridCol w:w="2045"/>
        <w:gridCol w:w="1462"/>
      </w:tblGrid>
      <w:tr w:rsidR="00DB3CBC" w:rsidRPr="00A15A5C" w14:paraId="700EA18D" w14:textId="77777777" w:rsidTr="00893850">
        <w:trPr>
          <w:trHeight w:val="301"/>
        </w:trPr>
        <w:tc>
          <w:tcPr>
            <w:tcW w:w="857" w:type="pct"/>
            <w:tcBorders>
              <w:top w:val="single" w:sz="4" w:space="0" w:color="auto"/>
              <w:bottom w:val="single" w:sz="4" w:space="0" w:color="auto"/>
            </w:tcBorders>
            <w:shd w:val="clear" w:color="auto" w:fill="auto"/>
            <w:noWrap/>
            <w:vAlign w:val="bottom"/>
            <w:hideMark/>
          </w:tcPr>
          <w:p w14:paraId="7EEC69CC"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lastRenderedPageBreak/>
              <w:t>Regione</w:t>
            </w:r>
          </w:p>
        </w:tc>
        <w:tc>
          <w:tcPr>
            <w:tcW w:w="643" w:type="pct"/>
            <w:tcBorders>
              <w:top w:val="single" w:sz="4" w:space="0" w:color="auto"/>
              <w:bottom w:val="single" w:sz="4" w:space="0" w:color="auto"/>
            </w:tcBorders>
            <w:shd w:val="clear" w:color="auto" w:fill="auto"/>
            <w:noWrap/>
            <w:vAlign w:val="center"/>
            <w:hideMark/>
          </w:tcPr>
          <w:p w14:paraId="4EA3A1F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xml:space="preserve">Popolazione </w:t>
            </w:r>
          </w:p>
          <w:p w14:paraId="76890EB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0-14</w:t>
            </w:r>
          </w:p>
        </w:tc>
        <w:tc>
          <w:tcPr>
            <w:tcW w:w="857" w:type="pct"/>
            <w:tcBorders>
              <w:top w:val="single" w:sz="4" w:space="0" w:color="auto"/>
              <w:bottom w:val="single" w:sz="4" w:space="0" w:color="auto"/>
            </w:tcBorders>
            <w:shd w:val="clear" w:color="auto" w:fill="auto"/>
            <w:noWrap/>
            <w:vAlign w:val="center"/>
            <w:hideMark/>
          </w:tcPr>
          <w:p w14:paraId="0307679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Totale costi ospedalizzazioni (milioni of €)</w:t>
            </w:r>
          </w:p>
        </w:tc>
        <w:tc>
          <w:tcPr>
            <w:tcW w:w="928" w:type="pct"/>
            <w:tcBorders>
              <w:top w:val="single" w:sz="4" w:space="0" w:color="auto"/>
              <w:bottom w:val="single" w:sz="4" w:space="0" w:color="auto"/>
            </w:tcBorders>
            <w:shd w:val="clear" w:color="auto" w:fill="auto"/>
            <w:noWrap/>
            <w:vAlign w:val="center"/>
            <w:hideMark/>
          </w:tcPr>
          <w:p w14:paraId="4E1DDA4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Costi di ospedalizzazioni nella regione di residenza (milioni of €)</w:t>
            </w:r>
          </w:p>
        </w:tc>
        <w:tc>
          <w:tcPr>
            <w:tcW w:w="1000" w:type="pct"/>
            <w:tcBorders>
              <w:top w:val="single" w:sz="4" w:space="0" w:color="auto"/>
              <w:bottom w:val="single" w:sz="4" w:space="0" w:color="auto"/>
            </w:tcBorders>
            <w:shd w:val="clear" w:color="auto" w:fill="auto"/>
            <w:noWrap/>
            <w:vAlign w:val="center"/>
            <w:hideMark/>
          </w:tcPr>
          <w:p w14:paraId="6A4CC2F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Costi di ospedalizzazioni fuori regione (milioni of €)</w:t>
            </w:r>
          </w:p>
        </w:tc>
        <w:tc>
          <w:tcPr>
            <w:tcW w:w="715" w:type="pct"/>
            <w:tcBorders>
              <w:top w:val="single" w:sz="4" w:space="0" w:color="auto"/>
              <w:bottom w:val="single" w:sz="4" w:space="0" w:color="auto"/>
            </w:tcBorders>
            <w:shd w:val="clear" w:color="auto" w:fill="auto"/>
            <w:noWrap/>
            <w:vAlign w:val="center"/>
            <w:hideMark/>
          </w:tcPr>
          <w:p w14:paraId="1DE1874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Costi mobilità passiva/totale dei costi (%)</w:t>
            </w:r>
          </w:p>
        </w:tc>
      </w:tr>
      <w:tr w:rsidR="00DB3CBC" w:rsidRPr="00A15A5C" w14:paraId="73489EF8" w14:textId="77777777" w:rsidTr="00893850">
        <w:trPr>
          <w:trHeight w:val="301"/>
        </w:trPr>
        <w:tc>
          <w:tcPr>
            <w:tcW w:w="857" w:type="pct"/>
            <w:tcBorders>
              <w:top w:val="single" w:sz="4" w:space="0" w:color="auto"/>
            </w:tcBorders>
            <w:shd w:val="clear" w:color="auto" w:fill="auto"/>
            <w:noWrap/>
            <w:vAlign w:val="center"/>
          </w:tcPr>
          <w:p w14:paraId="7C588F5C" w14:textId="77777777" w:rsidR="00DB3CBC" w:rsidRPr="00A15A5C" w:rsidRDefault="00DB3CBC" w:rsidP="00893850">
            <w:pPr>
              <w:rPr>
                <w:rFonts w:ascii="Arial" w:hAnsi="Arial" w:cs="Arial"/>
                <w:b/>
                <w:bCs/>
                <w:color w:val="000000"/>
                <w:sz w:val="16"/>
                <w:szCs w:val="16"/>
              </w:rPr>
            </w:pPr>
            <w:r w:rsidRPr="00A15A5C">
              <w:rPr>
                <w:rFonts w:ascii="Arial" w:hAnsi="Arial" w:cs="Arial"/>
                <w:b/>
                <w:bCs/>
                <w:color w:val="000000"/>
                <w:sz w:val="16"/>
                <w:szCs w:val="16"/>
              </w:rPr>
              <w:t>Centro-Nord</w:t>
            </w:r>
          </w:p>
        </w:tc>
        <w:tc>
          <w:tcPr>
            <w:tcW w:w="643" w:type="pct"/>
            <w:tcBorders>
              <w:top w:val="single" w:sz="4" w:space="0" w:color="auto"/>
            </w:tcBorders>
            <w:shd w:val="clear" w:color="auto" w:fill="auto"/>
            <w:noWrap/>
            <w:vAlign w:val="center"/>
          </w:tcPr>
          <w:p w14:paraId="6C80C769"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5.146.568</w:t>
            </w:r>
          </w:p>
        </w:tc>
        <w:tc>
          <w:tcPr>
            <w:tcW w:w="857" w:type="pct"/>
            <w:tcBorders>
              <w:top w:val="single" w:sz="4" w:space="0" w:color="auto"/>
            </w:tcBorders>
            <w:shd w:val="clear" w:color="auto" w:fill="auto"/>
            <w:noWrap/>
            <w:vAlign w:val="center"/>
          </w:tcPr>
          <w:p w14:paraId="236F0540"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1.070,6</w:t>
            </w:r>
          </w:p>
        </w:tc>
        <w:tc>
          <w:tcPr>
            <w:tcW w:w="928" w:type="pct"/>
            <w:tcBorders>
              <w:top w:val="single" w:sz="4" w:space="0" w:color="auto"/>
            </w:tcBorders>
            <w:shd w:val="clear" w:color="auto" w:fill="auto"/>
            <w:noWrap/>
            <w:vAlign w:val="center"/>
          </w:tcPr>
          <w:p w14:paraId="752936B2"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980,9</w:t>
            </w:r>
          </w:p>
        </w:tc>
        <w:tc>
          <w:tcPr>
            <w:tcW w:w="1000" w:type="pct"/>
            <w:tcBorders>
              <w:top w:val="single" w:sz="4" w:space="0" w:color="auto"/>
            </w:tcBorders>
            <w:shd w:val="clear" w:color="auto" w:fill="auto"/>
            <w:noWrap/>
            <w:vAlign w:val="center"/>
          </w:tcPr>
          <w:p w14:paraId="492451AF"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89,7</w:t>
            </w:r>
          </w:p>
        </w:tc>
        <w:tc>
          <w:tcPr>
            <w:tcW w:w="715" w:type="pct"/>
            <w:tcBorders>
              <w:top w:val="single" w:sz="4" w:space="0" w:color="auto"/>
            </w:tcBorders>
            <w:shd w:val="clear" w:color="auto" w:fill="auto"/>
            <w:noWrap/>
            <w:vAlign w:val="center"/>
          </w:tcPr>
          <w:p w14:paraId="115E8CB4"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8,4</w:t>
            </w:r>
          </w:p>
        </w:tc>
      </w:tr>
      <w:tr w:rsidR="00DB3CBC" w:rsidRPr="00A15A5C" w14:paraId="759670D6" w14:textId="77777777" w:rsidTr="00893850">
        <w:trPr>
          <w:trHeight w:val="301"/>
        </w:trPr>
        <w:tc>
          <w:tcPr>
            <w:tcW w:w="857" w:type="pct"/>
            <w:shd w:val="clear" w:color="auto" w:fill="auto"/>
            <w:noWrap/>
            <w:vAlign w:val="center"/>
          </w:tcPr>
          <w:p w14:paraId="4407782B"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Piemonte</w:t>
            </w:r>
          </w:p>
        </w:tc>
        <w:tc>
          <w:tcPr>
            <w:tcW w:w="643" w:type="pct"/>
            <w:shd w:val="clear" w:color="auto" w:fill="auto"/>
            <w:noWrap/>
            <w:vAlign w:val="center"/>
          </w:tcPr>
          <w:p w14:paraId="6D99EEF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535.335</w:t>
            </w:r>
          </w:p>
        </w:tc>
        <w:tc>
          <w:tcPr>
            <w:tcW w:w="857" w:type="pct"/>
            <w:shd w:val="clear" w:color="auto" w:fill="auto"/>
            <w:noWrap/>
            <w:vAlign w:val="center"/>
          </w:tcPr>
          <w:p w14:paraId="4572A39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120,5</w:t>
            </w:r>
          </w:p>
        </w:tc>
        <w:tc>
          <w:tcPr>
            <w:tcW w:w="928" w:type="pct"/>
            <w:shd w:val="clear" w:color="auto" w:fill="auto"/>
            <w:noWrap/>
            <w:vAlign w:val="center"/>
          </w:tcPr>
          <w:p w14:paraId="59FBF5A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110,3</w:t>
            </w:r>
          </w:p>
        </w:tc>
        <w:tc>
          <w:tcPr>
            <w:tcW w:w="1000" w:type="pct"/>
            <w:shd w:val="clear" w:color="auto" w:fill="auto"/>
            <w:noWrap/>
            <w:vAlign w:val="center"/>
          </w:tcPr>
          <w:p w14:paraId="320D1C2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10,2</w:t>
            </w:r>
          </w:p>
        </w:tc>
        <w:tc>
          <w:tcPr>
            <w:tcW w:w="715" w:type="pct"/>
            <w:shd w:val="clear" w:color="auto" w:fill="auto"/>
            <w:noWrap/>
            <w:vAlign w:val="center"/>
          </w:tcPr>
          <w:p w14:paraId="3BFD0AD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8,5</w:t>
            </w:r>
          </w:p>
        </w:tc>
      </w:tr>
      <w:tr w:rsidR="00DB3CBC" w:rsidRPr="00A15A5C" w14:paraId="6283C44E" w14:textId="77777777" w:rsidTr="00893850">
        <w:trPr>
          <w:trHeight w:val="301"/>
        </w:trPr>
        <w:tc>
          <w:tcPr>
            <w:tcW w:w="857" w:type="pct"/>
            <w:shd w:val="clear" w:color="auto" w:fill="auto"/>
            <w:noWrap/>
            <w:vAlign w:val="center"/>
          </w:tcPr>
          <w:p w14:paraId="2773B68F"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Valle d’Aosta</w:t>
            </w:r>
          </w:p>
        </w:tc>
        <w:tc>
          <w:tcPr>
            <w:tcW w:w="643" w:type="pct"/>
            <w:shd w:val="clear" w:color="auto" w:fill="auto"/>
            <w:noWrap/>
            <w:vAlign w:val="center"/>
          </w:tcPr>
          <w:p w14:paraId="1D2F465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16.475</w:t>
            </w:r>
          </w:p>
        </w:tc>
        <w:tc>
          <w:tcPr>
            <w:tcW w:w="857" w:type="pct"/>
            <w:shd w:val="clear" w:color="auto" w:fill="auto"/>
            <w:noWrap/>
            <w:vAlign w:val="center"/>
          </w:tcPr>
          <w:p w14:paraId="39A97E5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3,5</w:t>
            </w:r>
          </w:p>
        </w:tc>
        <w:tc>
          <w:tcPr>
            <w:tcW w:w="928" w:type="pct"/>
            <w:shd w:val="clear" w:color="auto" w:fill="auto"/>
            <w:noWrap/>
            <w:vAlign w:val="center"/>
          </w:tcPr>
          <w:p w14:paraId="3661E06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2,3</w:t>
            </w:r>
          </w:p>
        </w:tc>
        <w:tc>
          <w:tcPr>
            <w:tcW w:w="1000" w:type="pct"/>
            <w:shd w:val="clear" w:color="auto" w:fill="auto"/>
            <w:noWrap/>
            <w:vAlign w:val="center"/>
          </w:tcPr>
          <w:p w14:paraId="63EA736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w:t>
            </w:r>
          </w:p>
        </w:tc>
        <w:tc>
          <w:tcPr>
            <w:tcW w:w="715" w:type="pct"/>
            <w:shd w:val="clear" w:color="auto" w:fill="auto"/>
            <w:noWrap/>
            <w:vAlign w:val="center"/>
          </w:tcPr>
          <w:p w14:paraId="345957A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34,3</w:t>
            </w:r>
          </w:p>
        </w:tc>
      </w:tr>
      <w:tr w:rsidR="00DB3CBC" w:rsidRPr="00A15A5C" w14:paraId="0286F008" w14:textId="77777777" w:rsidTr="00893850">
        <w:trPr>
          <w:trHeight w:val="301"/>
        </w:trPr>
        <w:tc>
          <w:tcPr>
            <w:tcW w:w="857" w:type="pct"/>
            <w:shd w:val="clear" w:color="auto" w:fill="auto"/>
            <w:noWrap/>
            <w:vAlign w:val="center"/>
          </w:tcPr>
          <w:p w14:paraId="740ED819"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Liguria</w:t>
            </w:r>
          </w:p>
        </w:tc>
        <w:tc>
          <w:tcPr>
            <w:tcW w:w="643" w:type="pct"/>
            <w:shd w:val="clear" w:color="auto" w:fill="auto"/>
            <w:noWrap/>
            <w:vAlign w:val="center"/>
          </w:tcPr>
          <w:p w14:paraId="7885294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170.174</w:t>
            </w:r>
          </w:p>
        </w:tc>
        <w:tc>
          <w:tcPr>
            <w:tcW w:w="857" w:type="pct"/>
            <w:shd w:val="clear" w:color="auto" w:fill="auto"/>
            <w:noWrap/>
            <w:vAlign w:val="center"/>
          </w:tcPr>
          <w:p w14:paraId="278D356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44,5</w:t>
            </w:r>
          </w:p>
        </w:tc>
        <w:tc>
          <w:tcPr>
            <w:tcW w:w="928" w:type="pct"/>
            <w:shd w:val="clear" w:color="auto" w:fill="auto"/>
            <w:noWrap/>
            <w:vAlign w:val="center"/>
          </w:tcPr>
          <w:p w14:paraId="6F4580B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40,1</w:t>
            </w:r>
          </w:p>
        </w:tc>
        <w:tc>
          <w:tcPr>
            <w:tcW w:w="1000" w:type="pct"/>
            <w:shd w:val="clear" w:color="auto" w:fill="auto"/>
            <w:noWrap/>
            <w:vAlign w:val="center"/>
          </w:tcPr>
          <w:p w14:paraId="5867A1F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4,4</w:t>
            </w:r>
          </w:p>
        </w:tc>
        <w:tc>
          <w:tcPr>
            <w:tcW w:w="715" w:type="pct"/>
            <w:shd w:val="clear" w:color="auto" w:fill="auto"/>
            <w:noWrap/>
            <w:vAlign w:val="center"/>
          </w:tcPr>
          <w:p w14:paraId="1ABDE85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9,9</w:t>
            </w:r>
          </w:p>
        </w:tc>
      </w:tr>
      <w:tr w:rsidR="00DB3CBC" w:rsidRPr="00A15A5C" w14:paraId="1E08F3E9" w14:textId="77777777" w:rsidTr="00893850">
        <w:trPr>
          <w:trHeight w:val="301"/>
        </w:trPr>
        <w:tc>
          <w:tcPr>
            <w:tcW w:w="857" w:type="pct"/>
            <w:shd w:val="clear" w:color="auto" w:fill="auto"/>
            <w:noWrap/>
            <w:vAlign w:val="center"/>
          </w:tcPr>
          <w:p w14:paraId="0DB30CA5"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Lombardia</w:t>
            </w:r>
          </w:p>
        </w:tc>
        <w:tc>
          <w:tcPr>
            <w:tcW w:w="643" w:type="pct"/>
            <w:shd w:val="clear" w:color="auto" w:fill="auto"/>
            <w:noWrap/>
            <w:vAlign w:val="center"/>
          </w:tcPr>
          <w:p w14:paraId="28F8D01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1.362.146</w:t>
            </w:r>
          </w:p>
        </w:tc>
        <w:tc>
          <w:tcPr>
            <w:tcW w:w="857" w:type="pct"/>
            <w:shd w:val="clear" w:color="auto" w:fill="auto"/>
            <w:noWrap/>
            <w:vAlign w:val="center"/>
          </w:tcPr>
          <w:p w14:paraId="6C53CB0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272,4</w:t>
            </w:r>
          </w:p>
        </w:tc>
        <w:tc>
          <w:tcPr>
            <w:tcW w:w="928" w:type="pct"/>
            <w:shd w:val="clear" w:color="auto" w:fill="auto"/>
            <w:noWrap/>
            <w:vAlign w:val="center"/>
          </w:tcPr>
          <w:p w14:paraId="65A0F97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255,4</w:t>
            </w:r>
          </w:p>
        </w:tc>
        <w:tc>
          <w:tcPr>
            <w:tcW w:w="1000" w:type="pct"/>
            <w:shd w:val="clear" w:color="auto" w:fill="auto"/>
            <w:noWrap/>
            <w:vAlign w:val="center"/>
          </w:tcPr>
          <w:p w14:paraId="6B8EA13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17,0</w:t>
            </w:r>
          </w:p>
        </w:tc>
        <w:tc>
          <w:tcPr>
            <w:tcW w:w="715" w:type="pct"/>
            <w:shd w:val="clear" w:color="auto" w:fill="auto"/>
            <w:noWrap/>
            <w:vAlign w:val="center"/>
          </w:tcPr>
          <w:p w14:paraId="59CCBA0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6,2</w:t>
            </w:r>
          </w:p>
        </w:tc>
      </w:tr>
      <w:tr w:rsidR="00DB3CBC" w:rsidRPr="00A15A5C" w14:paraId="3B9B0B66" w14:textId="77777777" w:rsidTr="00893850">
        <w:trPr>
          <w:trHeight w:val="301"/>
        </w:trPr>
        <w:tc>
          <w:tcPr>
            <w:tcW w:w="857" w:type="pct"/>
            <w:shd w:val="clear" w:color="auto" w:fill="auto"/>
            <w:noWrap/>
            <w:vAlign w:val="center"/>
          </w:tcPr>
          <w:p w14:paraId="5881FDEC"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Trento</w:t>
            </w:r>
          </w:p>
        </w:tc>
        <w:tc>
          <w:tcPr>
            <w:tcW w:w="643" w:type="pct"/>
            <w:shd w:val="clear" w:color="auto" w:fill="auto"/>
            <w:noWrap/>
            <w:vAlign w:val="center"/>
          </w:tcPr>
          <w:p w14:paraId="0DF71D2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77.874</w:t>
            </w:r>
          </w:p>
        </w:tc>
        <w:tc>
          <w:tcPr>
            <w:tcW w:w="857" w:type="pct"/>
            <w:shd w:val="clear" w:color="auto" w:fill="auto"/>
            <w:noWrap/>
            <w:vAlign w:val="center"/>
          </w:tcPr>
          <w:p w14:paraId="5C253F0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15,3</w:t>
            </w:r>
          </w:p>
        </w:tc>
        <w:tc>
          <w:tcPr>
            <w:tcW w:w="928" w:type="pct"/>
            <w:shd w:val="clear" w:color="auto" w:fill="auto"/>
            <w:noWrap/>
            <w:vAlign w:val="center"/>
          </w:tcPr>
          <w:p w14:paraId="1BEFA05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11,8</w:t>
            </w:r>
          </w:p>
        </w:tc>
        <w:tc>
          <w:tcPr>
            <w:tcW w:w="1000" w:type="pct"/>
            <w:shd w:val="clear" w:color="auto" w:fill="auto"/>
            <w:noWrap/>
            <w:vAlign w:val="center"/>
          </w:tcPr>
          <w:p w14:paraId="52E64D2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3,5</w:t>
            </w:r>
          </w:p>
        </w:tc>
        <w:tc>
          <w:tcPr>
            <w:tcW w:w="715" w:type="pct"/>
            <w:shd w:val="clear" w:color="auto" w:fill="auto"/>
            <w:noWrap/>
            <w:vAlign w:val="center"/>
          </w:tcPr>
          <w:p w14:paraId="682A58B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22,9</w:t>
            </w:r>
          </w:p>
        </w:tc>
      </w:tr>
      <w:tr w:rsidR="00DB3CBC" w:rsidRPr="00A15A5C" w14:paraId="246A62AB" w14:textId="77777777" w:rsidTr="00893850">
        <w:trPr>
          <w:trHeight w:val="301"/>
        </w:trPr>
        <w:tc>
          <w:tcPr>
            <w:tcW w:w="857" w:type="pct"/>
            <w:shd w:val="clear" w:color="auto" w:fill="auto"/>
            <w:noWrap/>
            <w:vAlign w:val="center"/>
          </w:tcPr>
          <w:p w14:paraId="46111F7F"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Bolzano</w:t>
            </w:r>
          </w:p>
        </w:tc>
        <w:tc>
          <w:tcPr>
            <w:tcW w:w="643" w:type="pct"/>
            <w:shd w:val="clear" w:color="auto" w:fill="auto"/>
            <w:noWrap/>
            <w:vAlign w:val="center"/>
          </w:tcPr>
          <w:p w14:paraId="19F2240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83.353</w:t>
            </w:r>
          </w:p>
        </w:tc>
        <w:tc>
          <w:tcPr>
            <w:tcW w:w="857" w:type="pct"/>
            <w:shd w:val="clear" w:color="auto" w:fill="auto"/>
            <w:noWrap/>
            <w:vAlign w:val="center"/>
          </w:tcPr>
          <w:p w14:paraId="795BFE2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14,0</w:t>
            </w:r>
          </w:p>
        </w:tc>
        <w:tc>
          <w:tcPr>
            <w:tcW w:w="928" w:type="pct"/>
            <w:shd w:val="clear" w:color="auto" w:fill="auto"/>
            <w:noWrap/>
            <w:vAlign w:val="center"/>
          </w:tcPr>
          <w:p w14:paraId="5932C69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12,1</w:t>
            </w:r>
          </w:p>
        </w:tc>
        <w:tc>
          <w:tcPr>
            <w:tcW w:w="1000" w:type="pct"/>
            <w:shd w:val="clear" w:color="auto" w:fill="auto"/>
            <w:noWrap/>
            <w:vAlign w:val="center"/>
          </w:tcPr>
          <w:p w14:paraId="0BF931D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1,9</w:t>
            </w:r>
          </w:p>
        </w:tc>
        <w:tc>
          <w:tcPr>
            <w:tcW w:w="715" w:type="pct"/>
            <w:shd w:val="clear" w:color="auto" w:fill="auto"/>
            <w:noWrap/>
            <w:vAlign w:val="center"/>
          </w:tcPr>
          <w:p w14:paraId="71FA250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13,6</w:t>
            </w:r>
          </w:p>
        </w:tc>
      </w:tr>
      <w:tr w:rsidR="00DB3CBC" w:rsidRPr="00A15A5C" w14:paraId="3A1A87F3" w14:textId="77777777" w:rsidTr="00893850">
        <w:trPr>
          <w:trHeight w:val="301"/>
        </w:trPr>
        <w:tc>
          <w:tcPr>
            <w:tcW w:w="857" w:type="pct"/>
            <w:shd w:val="clear" w:color="auto" w:fill="auto"/>
            <w:noWrap/>
            <w:vAlign w:val="center"/>
          </w:tcPr>
          <w:p w14:paraId="205802BB"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Veneto</w:t>
            </w:r>
          </w:p>
        </w:tc>
        <w:tc>
          <w:tcPr>
            <w:tcW w:w="643" w:type="pct"/>
            <w:shd w:val="clear" w:color="auto" w:fill="auto"/>
            <w:noWrap/>
            <w:vAlign w:val="center"/>
          </w:tcPr>
          <w:p w14:paraId="6B6D73C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646.974</w:t>
            </w:r>
          </w:p>
        </w:tc>
        <w:tc>
          <w:tcPr>
            <w:tcW w:w="857" w:type="pct"/>
            <w:shd w:val="clear" w:color="auto" w:fill="auto"/>
            <w:noWrap/>
            <w:vAlign w:val="center"/>
          </w:tcPr>
          <w:p w14:paraId="60FFB42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126,0</w:t>
            </w:r>
          </w:p>
        </w:tc>
        <w:tc>
          <w:tcPr>
            <w:tcW w:w="928" w:type="pct"/>
            <w:shd w:val="clear" w:color="auto" w:fill="auto"/>
            <w:noWrap/>
            <w:vAlign w:val="center"/>
          </w:tcPr>
          <w:p w14:paraId="4CAFC0D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116,3</w:t>
            </w:r>
          </w:p>
        </w:tc>
        <w:tc>
          <w:tcPr>
            <w:tcW w:w="1000" w:type="pct"/>
            <w:shd w:val="clear" w:color="auto" w:fill="auto"/>
            <w:noWrap/>
            <w:vAlign w:val="center"/>
          </w:tcPr>
          <w:p w14:paraId="0D85F58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9,7</w:t>
            </w:r>
          </w:p>
        </w:tc>
        <w:tc>
          <w:tcPr>
            <w:tcW w:w="715" w:type="pct"/>
            <w:shd w:val="clear" w:color="auto" w:fill="auto"/>
            <w:noWrap/>
            <w:vAlign w:val="center"/>
          </w:tcPr>
          <w:p w14:paraId="6729652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7,7</w:t>
            </w:r>
          </w:p>
        </w:tc>
      </w:tr>
      <w:tr w:rsidR="00DB3CBC" w:rsidRPr="00A15A5C" w14:paraId="22D804AA" w14:textId="77777777" w:rsidTr="00893850">
        <w:trPr>
          <w:trHeight w:val="301"/>
        </w:trPr>
        <w:tc>
          <w:tcPr>
            <w:tcW w:w="857" w:type="pct"/>
            <w:shd w:val="clear" w:color="auto" w:fill="auto"/>
            <w:noWrap/>
            <w:vAlign w:val="center"/>
          </w:tcPr>
          <w:p w14:paraId="26DE35A5"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Friuli Venezia Giulia</w:t>
            </w:r>
          </w:p>
        </w:tc>
        <w:tc>
          <w:tcPr>
            <w:tcW w:w="643" w:type="pct"/>
            <w:shd w:val="clear" w:color="auto" w:fill="auto"/>
            <w:noWrap/>
            <w:vAlign w:val="center"/>
          </w:tcPr>
          <w:p w14:paraId="35BCAF8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145.473</w:t>
            </w:r>
          </w:p>
        </w:tc>
        <w:tc>
          <w:tcPr>
            <w:tcW w:w="857" w:type="pct"/>
            <w:shd w:val="clear" w:color="auto" w:fill="auto"/>
            <w:noWrap/>
            <w:vAlign w:val="center"/>
          </w:tcPr>
          <w:p w14:paraId="22A72E9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26,3</w:t>
            </w:r>
          </w:p>
        </w:tc>
        <w:tc>
          <w:tcPr>
            <w:tcW w:w="928" w:type="pct"/>
            <w:shd w:val="clear" w:color="auto" w:fill="auto"/>
            <w:noWrap/>
            <w:vAlign w:val="center"/>
          </w:tcPr>
          <w:p w14:paraId="02B3B24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22,8</w:t>
            </w:r>
          </w:p>
        </w:tc>
        <w:tc>
          <w:tcPr>
            <w:tcW w:w="1000" w:type="pct"/>
            <w:shd w:val="clear" w:color="auto" w:fill="auto"/>
            <w:noWrap/>
            <w:vAlign w:val="center"/>
          </w:tcPr>
          <w:p w14:paraId="42C9EEB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3,5</w:t>
            </w:r>
          </w:p>
        </w:tc>
        <w:tc>
          <w:tcPr>
            <w:tcW w:w="715" w:type="pct"/>
            <w:shd w:val="clear" w:color="auto" w:fill="auto"/>
            <w:noWrap/>
            <w:vAlign w:val="center"/>
          </w:tcPr>
          <w:p w14:paraId="57D85F9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13,3</w:t>
            </w:r>
          </w:p>
        </w:tc>
      </w:tr>
      <w:tr w:rsidR="00DB3CBC" w:rsidRPr="00A15A5C" w14:paraId="7FF00D0E" w14:textId="77777777" w:rsidTr="00893850">
        <w:trPr>
          <w:trHeight w:val="301"/>
        </w:trPr>
        <w:tc>
          <w:tcPr>
            <w:tcW w:w="857" w:type="pct"/>
            <w:shd w:val="clear" w:color="auto" w:fill="auto"/>
            <w:noWrap/>
            <w:vAlign w:val="center"/>
          </w:tcPr>
          <w:p w14:paraId="5437BB4F"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Emilia-Romagna</w:t>
            </w:r>
          </w:p>
        </w:tc>
        <w:tc>
          <w:tcPr>
            <w:tcW w:w="643" w:type="pct"/>
            <w:shd w:val="clear" w:color="auto" w:fill="auto"/>
            <w:noWrap/>
            <w:vAlign w:val="center"/>
          </w:tcPr>
          <w:p w14:paraId="79199F7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583.135</w:t>
            </w:r>
          </w:p>
        </w:tc>
        <w:tc>
          <w:tcPr>
            <w:tcW w:w="857" w:type="pct"/>
            <w:shd w:val="clear" w:color="auto" w:fill="auto"/>
            <w:noWrap/>
            <w:vAlign w:val="center"/>
          </w:tcPr>
          <w:p w14:paraId="670762E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122,9</w:t>
            </w:r>
          </w:p>
        </w:tc>
        <w:tc>
          <w:tcPr>
            <w:tcW w:w="928" w:type="pct"/>
            <w:shd w:val="clear" w:color="auto" w:fill="auto"/>
            <w:noWrap/>
            <w:vAlign w:val="center"/>
          </w:tcPr>
          <w:p w14:paraId="216B486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112,7</w:t>
            </w:r>
          </w:p>
        </w:tc>
        <w:tc>
          <w:tcPr>
            <w:tcW w:w="1000" w:type="pct"/>
            <w:shd w:val="clear" w:color="auto" w:fill="auto"/>
            <w:noWrap/>
            <w:vAlign w:val="center"/>
          </w:tcPr>
          <w:p w14:paraId="2BC5B8F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10,2</w:t>
            </w:r>
          </w:p>
        </w:tc>
        <w:tc>
          <w:tcPr>
            <w:tcW w:w="715" w:type="pct"/>
            <w:shd w:val="clear" w:color="auto" w:fill="auto"/>
            <w:noWrap/>
            <w:vAlign w:val="center"/>
          </w:tcPr>
          <w:p w14:paraId="5B55A6E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8,3</w:t>
            </w:r>
          </w:p>
        </w:tc>
      </w:tr>
      <w:tr w:rsidR="00DB3CBC" w:rsidRPr="00A15A5C" w14:paraId="1F2D77C7" w14:textId="77777777" w:rsidTr="00893850">
        <w:trPr>
          <w:trHeight w:val="301"/>
        </w:trPr>
        <w:tc>
          <w:tcPr>
            <w:tcW w:w="857" w:type="pct"/>
            <w:shd w:val="clear" w:color="auto" w:fill="auto"/>
            <w:noWrap/>
            <w:vAlign w:val="center"/>
          </w:tcPr>
          <w:p w14:paraId="3731D3F0"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Toscana</w:t>
            </w:r>
          </w:p>
        </w:tc>
        <w:tc>
          <w:tcPr>
            <w:tcW w:w="643" w:type="pct"/>
            <w:shd w:val="clear" w:color="auto" w:fill="auto"/>
            <w:noWrap/>
            <w:vAlign w:val="center"/>
          </w:tcPr>
          <w:p w14:paraId="0D9C6FC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457.615</w:t>
            </w:r>
          </w:p>
        </w:tc>
        <w:tc>
          <w:tcPr>
            <w:tcW w:w="857" w:type="pct"/>
            <w:shd w:val="clear" w:color="auto" w:fill="auto"/>
            <w:noWrap/>
            <w:vAlign w:val="center"/>
          </w:tcPr>
          <w:p w14:paraId="4579447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96,2</w:t>
            </w:r>
          </w:p>
        </w:tc>
        <w:tc>
          <w:tcPr>
            <w:tcW w:w="928" w:type="pct"/>
            <w:shd w:val="clear" w:color="auto" w:fill="auto"/>
            <w:noWrap/>
            <w:vAlign w:val="center"/>
          </w:tcPr>
          <w:p w14:paraId="5843756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90,6</w:t>
            </w:r>
          </w:p>
        </w:tc>
        <w:tc>
          <w:tcPr>
            <w:tcW w:w="1000" w:type="pct"/>
            <w:shd w:val="clear" w:color="auto" w:fill="auto"/>
            <w:noWrap/>
            <w:vAlign w:val="center"/>
          </w:tcPr>
          <w:p w14:paraId="2EFB956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5,6</w:t>
            </w:r>
          </w:p>
        </w:tc>
        <w:tc>
          <w:tcPr>
            <w:tcW w:w="715" w:type="pct"/>
            <w:shd w:val="clear" w:color="auto" w:fill="auto"/>
            <w:noWrap/>
            <w:vAlign w:val="center"/>
          </w:tcPr>
          <w:p w14:paraId="04A092D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5,8</w:t>
            </w:r>
          </w:p>
        </w:tc>
      </w:tr>
      <w:tr w:rsidR="00DB3CBC" w:rsidRPr="00A15A5C" w14:paraId="732F2BBC" w14:textId="77777777" w:rsidTr="00893850">
        <w:trPr>
          <w:trHeight w:val="301"/>
        </w:trPr>
        <w:tc>
          <w:tcPr>
            <w:tcW w:w="857" w:type="pct"/>
            <w:shd w:val="clear" w:color="auto" w:fill="auto"/>
            <w:noWrap/>
            <w:vAlign w:val="center"/>
          </w:tcPr>
          <w:p w14:paraId="2E58DFF1"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Umbria</w:t>
            </w:r>
          </w:p>
        </w:tc>
        <w:tc>
          <w:tcPr>
            <w:tcW w:w="643" w:type="pct"/>
            <w:shd w:val="clear" w:color="auto" w:fill="auto"/>
            <w:noWrap/>
            <w:vAlign w:val="center"/>
          </w:tcPr>
          <w:p w14:paraId="2293E17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108.760</w:t>
            </w:r>
          </w:p>
        </w:tc>
        <w:tc>
          <w:tcPr>
            <w:tcW w:w="857" w:type="pct"/>
            <w:shd w:val="clear" w:color="auto" w:fill="auto"/>
            <w:noWrap/>
            <w:vAlign w:val="center"/>
          </w:tcPr>
          <w:p w14:paraId="1E3C6B1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24,5</w:t>
            </w:r>
          </w:p>
        </w:tc>
        <w:tc>
          <w:tcPr>
            <w:tcW w:w="928" w:type="pct"/>
            <w:shd w:val="clear" w:color="auto" w:fill="auto"/>
            <w:noWrap/>
            <w:vAlign w:val="center"/>
          </w:tcPr>
          <w:p w14:paraId="0EE43BC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18,3</w:t>
            </w:r>
          </w:p>
        </w:tc>
        <w:tc>
          <w:tcPr>
            <w:tcW w:w="1000" w:type="pct"/>
            <w:shd w:val="clear" w:color="auto" w:fill="auto"/>
            <w:noWrap/>
            <w:vAlign w:val="center"/>
          </w:tcPr>
          <w:p w14:paraId="64D6EC0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6,2</w:t>
            </w:r>
          </w:p>
        </w:tc>
        <w:tc>
          <w:tcPr>
            <w:tcW w:w="715" w:type="pct"/>
            <w:shd w:val="clear" w:color="auto" w:fill="auto"/>
            <w:noWrap/>
            <w:vAlign w:val="center"/>
          </w:tcPr>
          <w:p w14:paraId="2429D07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25,3</w:t>
            </w:r>
          </w:p>
        </w:tc>
      </w:tr>
      <w:tr w:rsidR="00DB3CBC" w:rsidRPr="00A15A5C" w14:paraId="328EF87F" w14:textId="77777777" w:rsidTr="00893850">
        <w:trPr>
          <w:trHeight w:val="301"/>
        </w:trPr>
        <w:tc>
          <w:tcPr>
            <w:tcW w:w="857" w:type="pct"/>
            <w:shd w:val="clear" w:color="auto" w:fill="auto"/>
            <w:noWrap/>
            <w:vAlign w:val="center"/>
          </w:tcPr>
          <w:p w14:paraId="73ADC893"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Marche</w:t>
            </w:r>
          </w:p>
        </w:tc>
        <w:tc>
          <w:tcPr>
            <w:tcW w:w="643" w:type="pct"/>
            <w:shd w:val="clear" w:color="auto" w:fill="auto"/>
            <w:noWrap/>
            <w:vAlign w:val="center"/>
          </w:tcPr>
          <w:p w14:paraId="6CF4A43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191.725</w:t>
            </w:r>
          </w:p>
        </w:tc>
        <w:tc>
          <w:tcPr>
            <w:tcW w:w="857" w:type="pct"/>
            <w:shd w:val="clear" w:color="auto" w:fill="auto"/>
            <w:noWrap/>
            <w:vAlign w:val="center"/>
          </w:tcPr>
          <w:p w14:paraId="004CB2B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41,2</w:t>
            </w:r>
          </w:p>
        </w:tc>
        <w:tc>
          <w:tcPr>
            <w:tcW w:w="928" w:type="pct"/>
            <w:shd w:val="clear" w:color="auto" w:fill="auto"/>
            <w:noWrap/>
            <w:vAlign w:val="center"/>
          </w:tcPr>
          <w:p w14:paraId="1970DD2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33,4</w:t>
            </w:r>
          </w:p>
        </w:tc>
        <w:tc>
          <w:tcPr>
            <w:tcW w:w="1000" w:type="pct"/>
            <w:shd w:val="clear" w:color="auto" w:fill="auto"/>
            <w:noWrap/>
            <w:vAlign w:val="center"/>
          </w:tcPr>
          <w:p w14:paraId="19E06C9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7,8</w:t>
            </w:r>
          </w:p>
        </w:tc>
        <w:tc>
          <w:tcPr>
            <w:tcW w:w="715" w:type="pct"/>
            <w:shd w:val="clear" w:color="auto" w:fill="auto"/>
            <w:noWrap/>
            <w:vAlign w:val="center"/>
          </w:tcPr>
          <w:p w14:paraId="51B1F19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18,9</w:t>
            </w:r>
          </w:p>
        </w:tc>
      </w:tr>
      <w:tr w:rsidR="00DB3CBC" w:rsidRPr="00A15A5C" w14:paraId="3D1150DF" w14:textId="77777777" w:rsidTr="00893850">
        <w:trPr>
          <w:trHeight w:val="301"/>
        </w:trPr>
        <w:tc>
          <w:tcPr>
            <w:tcW w:w="857" w:type="pct"/>
            <w:shd w:val="clear" w:color="auto" w:fill="auto"/>
            <w:noWrap/>
            <w:vAlign w:val="center"/>
          </w:tcPr>
          <w:p w14:paraId="31DFF1BC"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Lazio</w:t>
            </w:r>
          </w:p>
        </w:tc>
        <w:tc>
          <w:tcPr>
            <w:tcW w:w="643" w:type="pct"/>
            <w:shd w:val="clear" w:color="auto" w:fill="auto"/>
            <w:noWrap/>
            <w:vAlign w:val="center"/>
          </w:tcPr>
          <w:p w14:paraId="77498BB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767.529</w:t>
            </w:r>
          </w:p>
        </w:tc>
        <w:tc>
          <w:tcPr>
            <w:tcW w:w="857" w:type="pct"/>
            <w:shd w:val="clear" w:color="auto" w:fill="auto"/>
            <w:noWrap/>
            <w:vAlign w:val="center"/>
          </w:tcPr>
          <w:p w14:paraId="5B81E43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163,3</w:t>
            </w:r>
          </w:p>
        </w:tc>
        <w:tc>
          <w:tcPr>
            <w:tcW w:w="928" w:type="pct"/>
            <w:shd w:val="clear" w:color="auto" w:fill="auto"/>
            <w:noWrap/>
            <w:vAlign w:val="center"/>
          </w:tcPr>
          <w:p w14:paraId="211BF741"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154,8</w:t>
            </w:r>
          </w:p>
        </w:tc>
        <w:tc>
          <w:tcPr>
            <w:tcW w:w="1000" w:type="pct"/>
            <w:shd w:val="clear" w:color="auto" w:fill="auto"/>
            <w:noWrap/>
            <w:vAlign w:val="center"/>
          </w:tcPr>
          <w:p w14:paraId="48E94F1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8,5</w:t>
            </w:r>
          </w:p>
        </w:tc>
        <w:tc>
          <w:tcPr>
            <w:tcW w:w="715" w:type="pct"/>
            <w:shd w:val="clear" w:color="auto" w:fill="auto"/>
            <w:noWrap/>
            <w:vAlign w:val="center"/>
          </w:tcPr>
          <w:p w14:paraId="398BA3A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5,2</w:t>
            </w:r>
          </w:p>
        </w:tc>
      </w:tr>
      <w:tr w:rsidR="00DB3CBC" w:rsidRPr="00A15A5C" w14:paraId="39599176" w14:textId="77777777" w:rsidTr="00893850">
        <w:trPr>
          <w:trHeight w:val="301"/>
        </w:trPr>
        <w:tc>
          <w:tcPr>
            <w:tcW w:w="857" w:type="pct"/>
            <w:shd w:val="clear" w:color="auto" w:fill="auto"/>
            <w:noWrap/>
            <w:vAlign w:val="center"/>
          </w:tcPr>
          <w:p w14:paraId="5C585EBD" w14:textId="77777777" w:rsidR="00DB3CBC" w:rsidRPr="00A15A5C" w:rsidRDefault="00893850" w:rsidP="00893850">
            <w:pPr>
              <w:rPr>
                <w:rFonts w:ascii="Arial" w:hAnsi="Arial" w:cs="Arial"/>
                <w:b/>
                <w:bCs/>
                <w:color w:val="000000"/>
                <w:sz w:val="16"/>
                <w:szCs w:val="16"/>
              </w:rPr>
            </w:pPr>
            <w:r w:rsidRPr="00A15A5C">
              <w:rPr>
                <w:rFonts w:ascii="Arial" w:hAnsi="Arial" w:cs="Arial"/>
                <w:b/>
                <w:bCs/>
                <w:color w:val="000000"/>
                <w:sz w:val="16"/>
                <w:szCs w:val="16"/>
              </w:rPr>
              <w:t>Mezzogiorno</w:t>
            </w:r>
          </w:p>
        </w:tc>
        <w:tc>
          <w:tcPr>
            <w:tcW w:w="643" w:type="pct"/>
            <w:shd w:val="clear" w:color="auto" w:fill="auto"/>
            <w:noWrap/>
            <w:vAlign w:val="center"/>
          </w:tcPr>
          <w:p w14:paraId="45376FCC"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2.725.319</w:t>
            </w:r>
          </w:p>
        </w:tc>
        <w:tc>
          <w:tcPr>
            <w:tcW w:w="857" w:type="pct"/>
            <w:shd w:val="clear" w:color="auto" w:fill="auto"/>
            <w:noWrap/>
            <w:vAlign w:val="center"/>
          </w:tcPr>
          <w:p w14:paraId="7AC8B79A"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688,5</w:t>
            </w:r>
          </w:p>
        </w:tc>
        <w:tc>
          <w:tcPr>
            <w:tcW w:w="928" w:type="pct"/>
            <w:shd w:val="clear" w:color="auto" w:fill="auto"/>
            <w:noWrap/>
            <w:vAlign w:val="center"/>
          </w:tcPr>
          <w:p w14:paraId="01388EA1"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584,5</w:t>
            </w:r>
          </w:p>
        </w:tc>
        <w:tc>
          <w:tcPr>
            <w:tcW w:w="1000" w:type="pct"/>
            <w:shd w:val="clear" w:color="auto" w:fill="auto"/>
            <w:noWrap/>
            <w:vAlign w:val="center"/>
          </w:tcPr>
          <w:p w14:paraId="71C45761"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103,9</w:t>
            </w:r>
          </w:p>
        </w:tc>
        <w:tc>
          <w:tcPr>
            <w:tcW w:w="715" w:type="pct"/>
            <w:shd w:val="clear" w:color="auto" w:fill="auto"/>
            <w:noWrap/>
            <w:vAlign w:val="center"/>
          </w:tcPr>
          <w:p w14:paraId="14591A7B"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15,1</w:t>
            </w:r>
          </w:p>
        </w:tc>
      </w:tr>
      <w:tr w:rsidR="00DB3CBC" w:rsidRPr="00A15A5C" w14:paraId="4A4DB82D" w14:textId="77777777" w:rsidTr="00893850">
        <w:trPr>
          <w:trHeight w:val="301"/>
        </w:trPr>
        <w:tc>
          <w:tcPr>
            <w:tcW w:w="857" w:type="pct"/>
            <w:shd w:val="clear" w:color="auto" w:fill="auto"/>
            <w:noWrap/>
            <w:vAlign w:val="center"/>
          </w:tcPr>
          <w:p w14:paraId="3C2E3F39"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Abruzzo</w:t>
            </w:r>
          </w:p>
        </w:tc>
        <w:tc>
          <w:tcPr>
            <w:tcW w:w="643" w:type="pct"/>
            <w:shd w:val="clear" w:color="auto" w:fill="auto"/>
            <w:noWrap/>
            <w:vAlign w:val="center"/>
          </w:tcPr>
          <w:p w14:paraId="553C420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161.223</w:t>
            </w:r>
          </w:p>
        </w:tc>
        <w:tc>
          <w:tcPr>
            <w:tcW w:w="857" w:type="pct"/>
            <w:shd w:val="clear" w:color="auto" w:fill="auto"/>
            <w:noWrap/>
            <w:vAlign w:val="center"/>
          </w:tcPr>
          <w:p w14:paraId="03BCE11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39,5</w:t>
            </w:r>
          </w:p>
        </w:tc>
        <w:tc>
          <w:tcPr>
            <w:tcW w:w="928" w:type="pct"/>
            <w:shd w:val="clear" w:color="auto" w:fill="auto"/>
            <w:noWrap/>
            <w:vAlign w:val="center"/>
          </w:tcPr>
          <w:p w14:paraId="001479E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29,1</w:t>
            </w:r>
          </w:p>
        </w:tc>
        <w:tc>
          <w:tcPr>
            <w:tcW w:w="1000" w:type="pct"/>
            <w:shd w:val="clear" w:color="auto" w:fill="auto"/>
            <w:noWrap/>
            <w:vAlign w:val="center"/>
          </w:tcPr>
          <w:p w14:paraId="2C94D25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10,4</w:t>
            </w:r>
          </w:p>
        </w:tc>
        <w:tc>
          <w:tcPr>
            <w:tcW w:w="715" w:type="pct"/>
            <w:shd w:val="clear" w:color="auto" w:fill="auto"/>
            <w:noWrap/>
            <w:vAlign w:val="center"/>
          </w:tcPr>
          <w:p w14:paraId="6455CAB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26,3</w:t>
            </w:r>
          </w:p>
        </w:tc>
      </w:tr>
      <w:tr w:rsidR="00DB3CBC" w:rsidRPr="00A15A5C" w14:paraId="48155F96" w14:textId="77777777" w:rsidTr="00893850">
        <w:trPr>
          <w:trHeight w:val="301"/>
        </w:trPr>
        <w:tc>
          <w:tcPr>
            <w:tcW w:w="857" w:type="pct"/>
            <w:shd w:val="clear" w:color="auto" w:fill="auto"/>
            <w:noWrap/>
            <w:vAlign w:val="center"/>
          </w:tcPr>
          <w:p w14:paraId="229F61F4"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Molise</w:t>
            </w:r>
          </w:p>
        </w:tc>
        <w:tc>
          <w:tcPr>
            <w:tcW w:w="643" w:type="pct"/>
            <w:shd w:val="clear" w:color="auto" w:fill="auto"/>
            <w:noWrap/>
            <w:vAlign w:val="center"/>
          </w:tcPr>
          <w:p w14:paraId="577D8BA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34.355</w:t>
            </w:r>
          </w:p>
        </w:tc>
        <w:tc>
          <w:tcPr>
            <w:tcW w:w="857" w:type="pct"/>
            <w:shd w:val="clear" w:color="auto" w:fill="auto"/>
            <w:noWrap/>
            <w:vAlign w:val="center"/>
          </w:tcPr>
          <w:p w14:paraId="06647B5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7,4</w:t>
            </w:r>
          </w:p>
        </w:tc>
        <w:tc>
          <w:tcPr>
            <w:tcW w:w="928" w:type="pct"/>
            <w:shd w:val="clear" w:color="auto" w:fill="auto"/>
            <w:noWrap/>
            <w:vAlign w:val="center"/>
          </w:tcPr>
          <w:p w14:paraId="57DC660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4,0</w:t>
            </w:r>
          </w:p>
        </w:tc>
        <w:tc>
          <w:tcPr>
            <w:tcW w:w="1000" w:type="pct"/>
            <w:shd w:val="clear" w:color="auto" w:fill="auto"/>
            <w:noWrap/>
            <w:vAlign w:val="center"/>
          </w:tcPr>
          <w:p w14:paraId="3D425DC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3,4</w:t>
            </w:r>
          </w:p>
        </w:tc>
        <w:tc>
          <w:tcPr>
            <w:tcW w:w="715" w:type="pct"/>
            <w:shd w:val="clear" w:color="auto" w:fill="auto"/>
            <w:noWrap/>
            <w:vAlign w:val="center"/>
          </w:tcPr>
          <w:p w14:paraId="3614693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45,9</w:t>
            </w:r>
          </w:p>
        </w:tc>
      </w:tr>
      <w:tr w:rsidR="00DB3CBC" w:rsidRPr="00A15A5C" w14:paraId="72C98C86" w14:textId="77777777" w:rsidTr="00893850">
        <w:trPr>
          <w:trHeight w:val="301"/>
        </w:trPr>
        <w:tc>
          <w:tcPr>
            <w:tcW w:w="857" w:type="pct"/>
            <w:shd w:val="clear" w:color="auto" w:fill="auto"/>
            <w:noWrap/>
            <w:vAlign w:val="center"/>
          </w:tcPr>
          <w:p w14:paraId="7700D9F3"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Campania</w:t>
            </w:r>
          </w:p>
        </w:tc>
        <w:tc>
          <w:tcPr>
            <w:tcW w:w="643" w:type="pct"/>
            <w:shd w:val="clear" w:color="auto" w:fill="auto"/>
            <w:noWrap/>
            <w:vAlign w:val="center"/>
          </w:tcPr>
          <w:p w14:paraId="76B6450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832.055</w:t>
            </w:r>
          </w:p>
        </w:tc>
        <w:tc>
          <w:tcPr>
            <w:tcW w:w="857" w:type="pct"/>
            <w:shd w:val="clear" w:color="auto" w:fill="auto"/>
            <w:noWrap/>
            <w:vAlign w:val="center"/>
          </w:tcPr>
          <w:p w14:paraId="4982D9D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211,8</w:t>
            </w:r>
          </w:p>
        </w:tc>
        <w:tc>
          <w:tcPr>
            <w:tcW w:w="928" w:type="pct"/>
            <w:shd w:val="clear" w:color="auto" w:fill="auto"/>
            <w:noWrap/>
            <w:vAlign w:val="center"/>
          </w:tcPr>
          <w:p w14:paraId="3BECAF4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186,3</w:t>
            </w:r>
          </w:p>
        </w:tc>
        <w:tc>
          <w:tcPr>
            <w:tcW w:w="1000" w:type="pct"/>
            <w:shd w:val="clear" w:color="auto" w:fill="auto"/>
            <w:noWrap/>
            <w:vAlign w:val="center"/>
          </w:tcPr>
          <w:p w14:paraId="020E09C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25,5</w:t>
            </w:r>
          </w:p>
        </w:tc>
        <w:tc>
          <w:tcPr>
            <w:tcW w:w="715" w:type="pct"/>
            <w:shd w:val="clear" w:color="auto" w:fill="auto"/>
            <w:noWrap/>
            <w:vAlign w:val="center"/>
          </w:tcPr>
          <w:p w14:paraId="6F999A8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12,0</w:t>
            </w:r>
          </w:p>
        </w:tc>
      </w:tr>
      <w:tr w:rsidR="00DB3CBC" w:rsidRPr="00A15A5C" w14:paraId="4E01DEFF" w14:textId="77777777" w:rsidTr="00893850">
        <w:trPr>
          <w:trHeight w:val="301"/>
        </w:trPr>
        <w:tc>
          <w:tcPr>
            <w:tcW w:w="857" w:type="pct"/>
            <w:shd w:val="clear" w:color="auto" w:fill="auto"/>
            <w:noWrap/>
            <w:vAlign w:val="center"/>
          </w:tcPr>
          <w:p w14:paraId="3920E80B"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Puglia</w:t>
            </w:r>
          </w:p>
        </w:tc>
        <w:tc>
          <w:tcPr>
            <w:tcW w:w="643" w:type="pct"/>
            <w:shd w:val="clear" w:color="auto" w:fill="auto"/>
            <w:noWrap/>
            <w:vAlign w:val="center"/>
          </w:tcPr>
          <w:p w14:paraId="3E72AF1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520.560</w:t>
            </w:r>
          </w:p>
        </w:tc>
        <w:tc>
          <w:tcPr>
            <w:tcW w:w="857" w:type="pct"/>
            <w:shd w:val="clear" w:color="auto" w:fill="auto"/>
            <w:noWrap/>
            <w:vAlign w:val="center"/>
          </w:tcPr>
          <w:p w14:paraId="50B4991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134,6</w:t>
            </w:r>
          </w:p>
        </w:tc>
        <w:tc>
          <w:tcPr>
            <w:tcW w:w="928" w:type="pct"/>
            <w:shd w:val="clear" w:color="auto" w:fill="auto"/>
            <w:noWrap/>
            <w:vAlign w:val="center"/>
          </w:tcPr>
          <w:p w14:paraId="3B61F1F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116,2</w:t>
            </w:r>
          </w:p>
        </w:tc>
        <w:tc>
          <w:tcPr>
            <w:tcW w:w="1000" w:type="pct"/>
            <w:shd w:val="clear" w:color="auto" w:fill="auto"/>
            <w:noWrap/>
            <w:vAlign w:val="center"/>
          </w:tcPr>
          <w:p w14:paraId="378CEFD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18,4</w:t>
            </w:r>
          </w:p>
        </w:tc>
        <w:tc>
          <w:tcPr>
            <w:tcW w:w="715" w:type="pct"/>
            <w:shd w:val="clear" w:color="auto" w:fill="auto"/>
            <w:noWrap/>
            <w:vAlign w:val="center"/>
          </w:tcPr>
          <w:p w14:paraId="34DAEEA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13,7</w:t>
            </w:r>
          </w:p>
        </w:tc>
      </w:tr>
      <w:tr w:rsidR="00DB3CBC" w:rsidRPr="00A15A5C" w14:paraId="6128FFB8" w14:textId="77777777" w:rsidTr="00893850">
        <w:trPr>
          <w:trHeight w:val="301"/>
        </w:trPr>
        <w:tc>
          <w:tcPr>
            <w:tcW w:w="857" w:type="pct"/>
            <w:shd w:val="clear" w:color="auto" w:fill="auto"/>
            <w:noWrap/>
            <w:vAlign w:val="center"/>
          </w:tcPr>
          <w:p w14:paraId="38D4B92D"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Basilicata</w:t>
            </w:r>
          </w:p>
        </w:tc>
        <w:tc>
          <w:tcPr>
            <w:tcW w:w="643" w:type="pct"/>
            <w:shd w:val="clear" w:color="auto" w:fill="auto"/>
            <w:noWrap/>
            <w:vAlign w:val="center"/>
          </w:tcPr>
          <w:p w14:paraId="53D0B35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66.379</w:t>
            </w:r>
          </w:p>
        </w:tc>
        <w:tc>
          <w:tcPr>
            <w:tcW w:w="857" w:type="pct"/>
            <w:shd w:val="clear" w:color="auto" w:fill="auto"/>
            <w:noWrap/>
            <w:vAlign w:val="center"/>
          </w:tcPr>
          <w:p w14:paraId="087CC8B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15,4</w:t>
            </w:r>
          </w:p>
        </w:tc>
        <w:tc>
          <w:tcPr>
            <w:tcW w:w="928" w:type="pct"/>
            <w:shd w:val="clear" w:color="auto" w:fill="auto"/>
            <w:noWrap/>
            <w:vAlign w:val="center"/>
          </w:tcPr>
          <w:p w14:paraId="362D634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8,6</w:t>
            </w:r>
          </w:p>
        </w:tc>
        <w:tc>
          <w:tcPr>
            <w:tcW w:w="1000" w:type="pct"/>
            <w:shd w:val="clear" w:color="auto" w:fill="auto"/>
            <w:noWrap/>
            <w:vAlign w:val="center"/>
          </w:tcPr>
          <w:p w14:paraId="0646A79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6,8</w:t>
            </w:r>
          </w:p>
        </w:tc>
        <w:tc>
          <w:tcPr>
            <w:tcW w:w="715" w:type="pct"/>
            <w:shd w:val="clear" w:color="auto" w:fill="auto"/>
            <w:noWrap/>
            <w:vAlign w:val="center"/>
          </w:tcPr>
          <w:p w14:paraId="5F97E49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44,2</w:t>
            </w:r>
          </w:p>
        </w:tc>
      </w:tr>
      <w:tr w:rsidR="00DB3CBC" w:rsidRPr="00A15A5C" w14:paraId="68B3726C" w14:textId="77777777" w:rsidTr="00893850">
        <w:trPr>
          <w:trHeight w:val="301"/>
        </w:trPr>
        <w:tc>
          <w:tcPr>
            <w:tcW w:w="857" w:type="pct"/>
            <w:shd w:val="clear" w:color="auto" w:fill="auto"/>
            <w:noWrap/>
            <w:vAlign w:val="center"/>
          </w:tcPr>
          <w:p w14:paraId="7CE71CA4"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Calabria</w:t>
            </w:r>
          </w:p>
        </w:tc>
        <w:tc>
          <w:tcPr>
            <w:tcW w:w="643" w:type="pct"/>
            <w:shd w:val="clear" w:color="auto" w:fill="auto"/>
            <w:noWrap/>
            <w:vAlign w:val="center"/>
          </w:tcPr>
          <w:p w14:paraId="4942C7D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252.792</w:t>
            </w:r>
          </w:p>
        </w:tc>
        <w:tc>
          <w:tcPr>
            <w:tcW w:w="857" w:type="pct"/>
            <w:shd w:val="clear" w:color="auto" w:fill="auto"/>
            <w:noWrap/>
            <w:vAlign w:val="center"/>
          </w:tcPr>
          <w:p w14:paraId="21FA9F7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63,8</w:t>
            </w:r>
          </w:p>
        </w:tc>
        <w:tc>
          <w:tcPr>
            <w:tcW w:w="928" w:type="pct"/>
            <w:shd w:val="clear" w:color="auto" w:fill="auto"/>
            <w:noWrap/>
            <w:vAlign w:val="center"/>
          </w:tcPr>
          <w:p w14:paraId="26C354F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46,7</w:t>
            </w:r>
          </w:p>
        </w:tc>
        <w:tc>
          <w:tcPr>
            <w:tcW w:w="1000" w:type="pct"/>
            <w:shd w:val="clear" w:color="auto" w:fill="auto"/>
            <w:noWrap/>
            <w:vAlign w:val="center"/>
          </w:tcPr>
          <w:p w14:paraId="2E9F7A4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17,1</w:t>
            </w:r>
          </w:p>
        </w:tc>
        <w:tc>
          <w:tcPr>
            <w:tcW w:w="715" w:type="pct"/>
            <w:shd w:val="clear" w:color="auto" w:fill="auto"/>
            <w:noWrap/>
            <w:vAlign w:val="center"/>
          </w:tcPr>
          <w:p w14:paraId="3723850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26,8</w:t>
            </w:r>
          </w:p>
        </w:tc>
      </w:tr>
      <w:tr w:rsidR="00DB3CBC" w:rsidRPr="00A15A5C" w14:paraId="2DFB3DDA" w14:textId="77777777" w:rsidTr="00893850">
        <w:trPr>
          <w:trHeight w:val="301"/>
        </w:trPr>
        <w:tc>
          <w:tcPr>
            <w:tcW w:w="857" w:type="pct"/>
            <w:shd w:val="clear" w:color="auto" w:fill="auto"/>
            <w:noWrap/>
            <w:vAlign w:val="center"/>
          </w:tcPr>
          <w:p w14:paraId="4739965D"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Sicilia</w:t>
            </w:r>
          </w:p>
        </w:tc>
        <w:tc>
          <w:tcPr>
            <w:tcW w:w="643" w:type="pct"/>
            <w:shd w:val="clear" w:color="auto" w:fill="auto"/>
            <w:noWrap/>
            <w:vAlign w:val="center"/>
          </w:tcPr>
          <w:p w14:paraId="074A54A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676.331</w:t>
            </w:r>
          </w:p>
        </w:tc>
        <w:tc>
          <w:tcPr>
            <w:tcW w:w="857" w:type="pct"/>
            <w:shd w:val="clear" w:color="auto" w:fill="auto"/>
            <w:noWrap/>
            <w:vAlign w:val="center"/>
          </w:tcPr>
          <w:p w14:paraId="499EC04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176,5</w:t>
            </w:r>
          </w:p>
        </w:tc>
        <w:tc>
          <w:tcPr>
            <w:tcW w:w="928" w:type="pct"/>
            <w:shd w:val="clear" w:color="auto" w:fill="auto"/>
            <w:noWrap/>
            <w:vAlign w:val="center"/>
          </w:tcPr>
          <w:p w14:paraId="6A43E27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159,7</w:t>
            </w:r>
          </w:p>
        </w:tc>
        <w:tc>
          <w:tcPr>
            <w:tcW w:w="1000" w:type="pct"/>
            <w:shd w:val="clear" w:color="auto" w:fill="auto"/>
            <w:noWrap/>
            <w:vAlign w:val="center"/>
          </w:tcPr>
          <w:p w14:paraId="4954250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16,8</w:t>
            </w:r>
          </w:p>
        </w:tc>
        <w:tc>
          <w:tcPr>
            <w:tcW w:w="715" w:type="pct"/>
            <w:shd w:val="clear" w:color="auto" w:fill="auto"/>
            <w:noWrap/>
            <w:vAlign w:val="center"/>
          </w:tcPr>
          <w:p w14:paraId="3C1C8A8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9,5</w:t>
            </w:r>
          </w:p>
        </w:tc>
      </w:tr>
      <w:tr w:rsidR="00DB3CBC" w:rsidRPr="00A15A5C" w14:paraId="0D2D3DCC" w14:textId="77777777" w:rsidTr="00893850">
        <w:trPr>
          <w:trHeight w:val="301"/>
        </w:trPr>
        <w:tc>
          <w:tcPr>
            <w:tcW w:w="857" w:type="pct"/>
            <w:tcBorders>
              <w:bottom w:val="nil"/>
            </w:tcBorders>
            <w:shd w:val="clear" w:color="auto" w:fill="auto"/>
            <w:noWrap/>
            <w:vAlign w:val="center"/>
          </w:tcPr>
          <w:p w14:paraId="1A80A1C0" w14:textId="77777777" w:rsidR="00DB3CBC" w:rsidRPr="00A15A5C" w:rsidRDefault="00DB3CBC" w:rsidP="00893850">
            <w:pPr>
              <w:rPr>
                <w:rFonts w:ascii="Arial" w:hAnsi="Arial" w:cs="Arial"/>
                <w:b/>
                <w:bCs/>
                <w:color w:val="000000"/>
                <w:sz w:val="16"/>
                <w:szCs w:val="16"/>
              </w:rPr>
            </w:pPr>
            <w:r w:rsidRPr="00A15A5C">
              <w:rPr>
                <w:rFonts w:ascii="Arial" w:hAnsi="Arial" w:cs="Arial"/>
                <w:color w:val="000000"/>
                <w:sz w:val="16"/>
                <w:szCs w:val="16"/>
              </w:rPr>
              <w:t>Sardegna</w:t>
            </w:r>
          </w:p>
        </w:tc>
        <w:tc>
          <w:tcPr>
            <w:tcW w:w="643" w:type="pct"/>
            <w:tcBorders>
              <w:bottom w:val="nil"/>
            </w:tcBorders>
            <w:shd w:val="clear" w:color="auto" w:fill="auto"/>
            <w:noWrap/>
            <w:vAlign w:val="center"/>
          </w:tcPr>
          <w:p w14:paraId="53C9F626"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color w:val="000000"/>
                <w:sz w:val="16"/>
                <w:szCs w:val="16"/>
              </w:rPr>
              <w:t>181.624</w:t>
            </w:r>
          </w:p>
        </w:tc>
        <w:tc>
          <w:tcPr>
            <w:tcW w:w="857" w:type="pct"/>
            <w:tcBorders>
              <w:bottom w:val="nil"/>
            </w:tcBorders>
            <w:shd w:val="clear" w:color="auto" w:fill="auto"/>
            <w:noWrap/>
            <w:vAlign w:val="center"/>
          </w:tcPr>
          <w:p w14:paraId="05F500E0"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color w:val="000000"/>
                <w:sz w:val="16"/>
                <w:szCs w:val="16"/>
              </w:rPr>
              <w:t>39,5</w:t>
            </w:r>
          </w:p>
        </w:tc>
        <w:tc>
          <w:tcPr>
            <w:tcW w:w="928" w:type="pct"/>
            <w:tcBorders>
              <w:bottom w:val="nil"/>
            </w:tcBorders>
            <w:shd w:val="clear" w:color="auto" w:fill="auto"/>
            <w:noWrap/>
            <w:vAlign w:val="center"/>
          </w:tcPr>
          <w:p w14:paraId="232F4886"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color w:val="000000"/>
                <w:sz w:val="16"/>
                <w:szCs w:val="16"/>
              </w:rPr>
              <w:t>33,9</w:t>
            </w:r>
          </w:p>
        </w:tc>
        <w:tc>
          <w:tcPr>
            <w:tcW w:w="1000" w:type="pct"/>
            <w:tcBorders>
              <w:bottom w:val="nil"/>
            </w:tcBorders>
            <w:shd w:val="clear" w:color="auto" w:fill="auto"/>
            <w:noWrap/>
            <w:vAlign w:val="center"/>
          </w:tcPr>
          <w:p w14:paraId="67FE0A87"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color w:val="000000"/>
                <w:sz w:val="16"/>
                <w:szCs w:val="16"/>
              </w:rPr>
              <w:t>5,6</w:t>
            </w:r>
          </w:p>
        </w:tc>
        <w:tc>
          <w:tcPr>
            <w:tcW w:w="715" w:type="pct"/>
            <w:tcBorders>
              <w:bottom w:val="nil"/>
            </w:tcBorders>
            <w:shd w:val="clear" w:color="auto" w:fill="auto"/>
            <w:noWrap/>
            <w:vAlign w:val="center"/>
          </w:tcPr>
          <w:p w14:paraId="17E6D2AF"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color w:val="000000"/>
                <w:sz w:val="16"/>
                <w:szCs w:val="16"/>
              </w:rPr>
              <w:t>14,2</w:t>
            </w:r>
          </w:p>
        </w:tc>
      </w:tr>
      <w:tr w:rsidR="00DB3CBC" w:rsidRPr="00A15A5C" w14:paraId="61A57FA0" w14:textId="77777777" w:rsidTr="00893850">
        <w:trPr>
          <w:trHeight w:val="301"/>
        </w:trPr>
        <w:tc>
          <w:tcPr>
            <w:tcW w:w="857" w:type="pct"/>
            <w:tcBorders>
              <w:bottom w:val="single" w:sz="4" w:space="0" w:color="auto"/>
            </w:tcBorders>
            <w:shd w:val="clear" w:color="auto" w:fill="auto"/>
            <w:noWrap/>
            <w:vAlign w:val="center"/>
          </w:tcPr>
          <w:p w14:paraId="1BA873C2" w14:textId="77777777" w:rsidR="00DB3CBC" w:rsidRPr="00A15A5C" w:rsidRDefault="00DB3CBC" w:rsidP="00893850">
            <w:pPr>
              <w:rPr>
                <w:rFonts w:ascii="Arial" w:hAnsi="Arial" w:cs="Arial"/>
                <w:b/>
                <w:bCs/>
                <w:color w:val="000000"/>
                <w:sz w:val="16"/>
                <w:szCs w:val="16"/>
              </w:rPr>
            </w:pPr>
            <w:r w:rsidRPr="00A15A5C">
              <w:rPr>
                <w:rFonts w:ascii="Arial" w:hAnsi="Arial" w:cs="Arial"/>
                <w:b/>
                <w:bCs/>
                <w:color w:val="000000"/>
                <w:sz w:val="16"/>
                <w:szCs w:val="16"/>
              </w:rPr>
              <w:t>Italia</w:t>
            </w:r>
          </w:p>
        </w:tc>
        <w:tc>
          <w:tcPr>
            <w:tcW w:w="643" w:type="pct"/>
            <w:tcBorders>
              <w:bottom w:val="single" w:sz="4" w:space="0" w:color="auto"/>
            </w:tcBorders>
            <w:shd w:val="clear" w:color="auto" w:fill="auto"/>
            <w:noWrap/>
            <w:vAlign w:val="center"/>
          </w:tcPr>
          <w:p w14:paraId="286D993E"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7.871.887</w:t>
            </w:r>
          </w:p>
        </w:tc>
        <w:tc>
          <w:tcPr>
            <w:tcW w:w="857" w:type="pct"/>
            <w:tcBorders>
              <w:bottom w:val="single" w:sz="4" w:space="0" w:color="auto"/>
            </w:tcBorders>
            <w:shd w:val="clear" w:color="auto" w:fill="auto"/>
            <w:noWrap/>
            <w:vAlign w:val="center"/>
          </w:tcPr>
          <w:p w14:paraId="0F9CA91B"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1.759,2</w:t>
            </w:r>
          </w:p>
        </w:tc>
        <w:tc>
          <w:tcPr>
            <w:tcW w:w="928" w:type="pct"/>
            <w:tcBorders>
              <w:bottom w:val="single" w:sz="4" w:space="0" w:color="auto"/>
            </w:tcBorders>
            <w:shd w:val="clear" w:color="auto" w:fill="auto"/>
            <w:noWrap/>
            <w:vAlign w:val="center"/>
          </w:tcPr>
          <w:p w14:paraId="08103286"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1.565,6</w:t>
            </w:r>
          </w:p>
        </w:tc>
        <w:tc>
          <w:tcPr>
            <w:tcW w:w="1000" w:type="pct"/>
            <w:tcBorders>
              <w:bottom w:val="single" w:sz="4" w:space="0" w:color="auto"/>
            </w:tcBorders>
            <w:shd w:val="clear" w:color="auto" w:fill="auto"/>
            <w:noWrap/>
            <w:vAlign w:val="center"/>
          </w:tcPr>
          <w:p w14:paraId="706EFD9E"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193,6</w:t>
            </w:r>
          </w:p>
        </w:tc>
        <w:tc>
          <w:tcPr>
            <w:tcW w:w="715" w:type="pct"/>
            <w:tcBorders>
              <w:bottom w:val="single" w:sz="4" w:space="0" w:color="auto"/>
            </w:tcBorders>
            <w:shd w:val="clear" w:color="auto" w:fill="auto"/>
            <w:noWrap/>
            <w:vAlign w:val="center"/>
          </w:tcPr>
          <w:p w14:paraId="6D04866A" w14:textId="77777777" w:rsidR="00DB3CBC" w:rsidRPr="00A15A5C" w:rsidRDefault="00DB3CBC" w:rsidP="00893850">
            <w:pPr>
              <w:jc w:val="center"/>
              <w:rPr>
                <w:rFonts w:ascii="Arial" w:hAnsi="Arial" w:cs="Arial"/>
                <w:b/>
                <w:bCs/>
                <w:color w:val="000000"/>
                <w:sz w:val="16"/>
                <w:szCs w:val="16"/>
              </w:rPr>
            </w:pPr>
            <w:r w:rsidRPr="00A15A5C">
              <w:rPr>
                <w:rFonts w:ascii="Arial" w:hAnsi="Arial" w:cs="Arial"/>
                <w:b/>
                <w:bCs/>
                <w:color w:val="000000"/>
                <w:sz w:val="16"/>
                <w:szCs w:val="16"/>
              </w:rPr>
              <w:t>11,0</w:t>
            </w:r>
          </w:p>
        </w:tc>
      </w:tr>
    </w:tbl>
    <w:p w14:paraId="251E055A" w14:textId="77777777" w:rsidR="00DB3CBC" w:rsidRPr="00A15A5C" w:rsidRDefault="00DB3CBC" w:rsidP="00DB3CBC">
      <w:pPr>
        <w:spacing w:line="360" w:lineRule="auto"/>
        <w:jc w:val="both"/>
        <w:rPr>
          <w:rFonts w:ascii="Arial" w:hAnsi="Arial" w:cs="Arial"/>
          <w:sz w:val="20"/>
          <w:szCs w:val="20"/>
        </w:rPr>
      </w:pPr>
      <w:r w:rsidRPr="00A15A5C">
        <w:rPr>
          <w:rFonts w:ascii="Arial" w:hAnsi="Arial" w:cs="Arial"/>
          <w:b/>
          <w:bCs/>
          <w:sz w:val="20"/>
          <w:szCs w:val="20"/>
        </w:rPr>
        <w:t>Tabella 2.</w:t>
      </w:r>
      <w:r w:rsidRPr="00A15A5C">
        <w:rPr>
          <w:rFonts w:ascii="Arial" w:hAnsi="Arial" w:cs="Arial"/>
          <w:sz w:val="20"/>
          <w:szCs w:val="20"/>
        </w:rPr>
        <w:t xml:space="preserve"> Costi complessivi dei ricoveri e costi della mobilità passiva in Italia (2019)</w:t>
      </w:r>
    </w:p>
    <w:p w14:paraId="0BC01A93" w14:textId="77777777" w:rsidR="00DB3CBC" w:rsidRPr="00A15A5C" w:rsidRDefault="00DB3CBC">
      <w:pPr>
        <w:rPr>
          <w:rFonts w:ascii="Arial" w:eastAsia="Arial" w:hAnsi="Arial" w:cs="Arial"/>
          <w:b/>
          <w:sz w:val="24"/>
          <w:szCs w:val="24"/>
        </w:rPr>
      </w:pPr>
      <w:r w:rsidRPr="00A15A5C">
        <w:rPr>
          <w:rFonts w:ascii="Arial" w:eastAsia="Arial" w:hAnsi="Arial" w:cs="Arial"/>
          <w:b/>
          <w:sz w:val="24"/>
          <w:szCs w:val="24"/>
        </w:rPr>
        <w:br w:type="page"/>
      </w:r>
    </w:p>
    <w:p w14:paraId="63C83AD0" w14:textId="77777777" w:rsidR="00DB3CBC" w:rsidRPr="00A15A5C" w:rsidRDefault="00DB3CBC" w:rsidP="00DB3CBC">
      <w:pPr>
        <w:spacing w:line="360" w:lineRule="auto"/>
        <w:jc w:val="both"/>
        <w:rPr>
          <w:rFonts w:ascii="Arial" w:eastAsia="Arial" w:hAnsi="Arial" w:cs="Arial"/>
          <w:b/>
          <w:sz w:val="24"/>
          <w:szCs w:val="24"/>
        </w:rPr>
      </w:pPr>
      <w:r w:rsidRPr="00A15A5C">
        <w:rPr>
          <w:rFonts w:ascii="Arial" w:hAnsi="Arial" w:cs="Arial"/>
          <w:b/>
          <w:bCs/>
          <w:sz w:val="20"/>
          <w:szCs w:val="20"/>
        </w:rPr>
        <w:lastRenderedPageBreak/>
        <w:t>Tabella 3</w:t>
      </w:r>
      <w:r w:rsidRPr="00A15A5C">
        <w:rPr>
          <w:rFonts w:ascii="Arial" w:hAnsi="Arial" w:cs="Arial"/>
          <w:sz w:val="20"/>
          <w:szCs w:val="20"/>
        </w:rPr>
        <w:t>. Mobilità passiva e relativi costi tra aree geografiche dell'Italia (2019)</w:t>
      </w:r>
    </w:p>
    <w:tbl>
      <w:tblPr>
        <w:tblpPr w:leftFromText="141" w:rightFromText="141" w:vertAnchor="text" w:horzAnchor="margin" w:tblpY="278"/>
        <w:tblW w:w="9916"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14"/>
        <w:gridCol w:w="1021"/>
        <w:gridCol w:w="1980"/>
        <w:gridCol w:w="1416"/>
        <w:gridCol w:w="1834"/>
        <w:gridCol w:w="2251"/>
      </w:tblGrid>
      <w:tr w:rsidR="00DB3CBC" w:rsidRPr="00A15A5C" w14:paraId="58B18F0A" w14:textId="77777777" w:rsidTr="00893850">
        <w:trPr>
          <w:trHeight w:val="276"/>
        </w:trPr>
        <w:tc>
          <w:tcPr>
            <w:tcW w:w="1417" w:type="dxa"/>
            <w:tcBorders>
              <w:top w:val="single" w:sz="4" w:space="0" w:color="auto"/>
              <w:bottom w:val="single" w:sz="4" w:space="0" w:color="auto"/>
            </w:tcBorders>
            <w:shd w:val="clear" w:color="auto" w:fill="auto"/>
            <w:vAlign w:val="center"/>
            <w:hideMark/>
          </w:tcPr>
          <w:p w14:paraId="13852D5C"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Area di residenza</w:t>
            </w:r>
          </w:p>
        </w:tc>
        <w:tc>
          <w:tcPr>
            <w:tcW w:w="993" w:type="dxa"/>
            <w:tcBorders>
              <w:top w:val="single" w:sz="4" w:space="0" w:color="auto"/>
              <w:bottom w:val="single" w:sz="4" w:space="0" w:color="auto"/>
            </w:tcBorders>
            <w:shd w:val="clear" w:color="auto" w:fill="auto"/>
            <w:vAlign w:val="center"/>
            <w:hideMark/>
          </w:tcPr>
          <w:p w14:paraId="7729D63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Popolazione 0-14</w:t>
            </w:r>
          </w:p>
        </w:tc>
        <w:tc>
          <w:tcPr>
            <w:tcW w:w="1985" w:type="dxa"/>
            <w:tcBorders>
              <w:top w:val="single" w:sz="4" w:space="0" w:color="auto"/>
              <w:bottom w:val="single" w:sz="4" w:space="0" w:color="auto"/>
            </w:tcBorders>
            <w:shd w:val="clear" w:color="auto" w:fill="auto"/>
            <w:vAlign w:val="center"/>
            <w:hideMark/>
          </w:tcPr>
          <w:p w14:paraId="1B0B29B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Totale ospedalizzazioni (% sulla popolazione totale) e relativi costi (totale e pro-capite)</w:t>
            </w:r>
          </w:p>
        </w:tc>
        <w:tc>
          <w:tcPr>
            <w:tcW w:w="1417" w:type="dxa"/>
            <w:tcBorders>
              <w:top w:val="single" w:sz="4" w:space="0" w:color="auto"/>
              <w:bottom w:val="single" w:sz="4" w:space="0" w:color="auto"/>
            </w:tcBorders>
            <w:shd w:val="clear" w:color="auto" w:fill="auto"/>
            <w:vAlign w:val="center"/>
            <w:hideMark/>
          </w:tcPr>
          <w:p w14:paraId="164BF42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Ospedalizzazioni fuori regione (%) e relativi costi</w:t>
            </w:r>
          </w:p>
        </w:tc>
        <w:tc>
          <w:tcPr>
            <w:tcW w:w="1843" w:type="dxa"/>
            <w:tcBorders>
              <w:top w:val="single" w:sz="4" w:space="0" w:color="auto"/>
              <w:bottom w:val="single" w:sz="4" w:space="0" w:color="auto"/>
            </w:tcBorders>
            <w:shd w:val="clear" w:color="auto" w:fill="auto"/>
            <w:vAlign w:val="center"/>
            <w:hideMark/>
          </w:tcPr>
          <w:p w14:paraId="7AE319A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xml:space="preserve">Mobilità passiva verso il Centro-Nord (%) e relativi costi </w:t>
            </w:r>
          </w:p>
        </w:tc>
        <w:tc>
          <w:tcPr>
            <w:tcW w:w="2261" w:type="dxa"/>
            <w:tcBorders>
              <w:top w:val="single" w:sz="4" w:space="0" w:color="auto"/>
              <w:bottom w:val="single" w:sz="4" w:space="0" w:color="auto"/>
            </w:tcBorders>
            <w:shd w:val="clear" w:color="auto" w:fill="auto"/>
            <w:vAlign w:val="center"/>
            <w:hideMark/>
          </w:tcPr>
          <w:p w14:paraId="755BAAB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xml:space="preserve">Mobilità passiva verso il </w:t>
            </w:r>
            <w:r w:rsidR="00893850" w:rsidRPr="00A15A5C">
              <w:rPr>
                <w:rFonts w:ascii="Arial" w:hAnsi="Arial" w:cs="Arial"/>
                <w:color w:val="000000"/>
                <w:sz w:val="16"/>
                <w:szCs w:val="16"/>
              </w:rPr>
              <w:t>Mezzogiorno</w:t>
            </w:r>
            <w:r w:rsidRPr="00A15A5C">
              <w:rPr>
                <w:rFonts w:ascii="Arial" w:hAnsi="Arial" w:cs="Arial"/>
                <w:color w:val="000000"/>
                <w:sz w:val="16"/>
                <w:szCs w:val="16"/>
              </w:rPr>
              <w:t xml:space="preserve"> (%) e relativi costi </w:t>
            </w:r>
          </w:p>
        </w:tc>
      </w:tr>
      <w:tr w:rsidR="00DB3CBC" w:rsidRPr="00A15A5C" w14:paraId="3B80BE4E" w14:textId="77777777" w:rsidTr="00893850">
        <w:trPr>
          <w:trHeight w:val="596"/>
        </w:trPr>
        <w:tc>
          <w:tcPr>
            <w:tcW w:w="1417" w:type="dxa"/>
            <w:tcBorders>
              <w:top w:val="single" w:sz="4" w:space="0" w:color="auto"/>
            </w:tcBorders>
            <w:shd w:val="clear" w:color="auto" w:fill="auto"/>
            <w:vAlign w:val="center"/>
            <w:hideMark/>
          </w:tcPr>
          <w:p w14:paraId="2EC95B02"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Centro-Nord</w:t>
            </w:r>
          </w:p>
        </w:tc>
        <w:tc>
          <w:tcPr>
            <w:tcW w:w="993" w:type="dxa"/>
            <w:tcBorders>
              <w:top w:val="single" w:sz="4" w:space="0" w:color="auto"/>
            </w:tcBorders>
            <w:shd w:val="clear" w:color="auto" w:fill="auto"/>
            <w:vAlign w:val="center"/>
            <w:hideMark/>
          </w:tcPr>
          <w:p w14:paraId="7DB5368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5.146.568</w:t>
            </w:r>
          </w:p>
        </w:tc>
        <w:tc>
          <w:tcPr>
            <w:tcW w:w="1985" w:type="dxa"/>
            <w:tcBorders>
              <w:top w:val="single" w:sz="4" w:space="0" w:color="auto"/>
            </w:tcBorders>
            <w:shd w:val="clear" w:color="auto" w:fill="auto"/>
            <w:vAlign w:val="center"/>
            <w:hideMark/>
          </w:tcPr>
          <w:p w14:paraId="2BFA2BA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632.027 (12,3%)</w:t>
            </w:r>
          </w:p>
        </w:tc>
        <w:tc>
          <w:tcPr>
            <w:tcW w:w="1417" w:type="dxa"/>
            <w:tcBorders>
              <w:top w:val="single" w:sz="4" w:space="0" w:color="auto"/>
            </w:tcBorders>
            <w:shd w:val="clear" w:color="auto" w:fill="auto"/>
            <w:vAlign w:val="center"/>
            <w:hideMark/>
          </w:tcPr>
          <w:p w14:paraId="376A096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43.441 (6,9%)</w:t>
            </w:r>
          </w:p>
        </w:tc>
        <w:tc>
          <w:tcPr>
            <w:tcW w:w="1843" w:type="dxa"/>
            <w:tcBorders>
              <w:top w:val="single" w:sz="4" w:space="0" w:color="auto"/>
            </w:tcBorders>
            <w:shd w:val="clear" w:color="auto" w:fill="auto"/>
            <w:vAlign w:val="center"/>
            <w:hideMark/>
          </w:tcPr>
          <w:p w14:paraId="79F681F0"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37.884 (87,2%)</w:t>
            </w:r>
          </w:p>
        </w:tc>
        <w:tc>
          <w:tcPr>
            <w:tcW w:w="2261" w:type="dxa"/>
            <w:tcBorders>
              <w:top w:val="single" w:sz="4" w:space="0" w:color="auto"/>
            </w:tcBorders>
            <w:shd w:val="clear" w:color="auto" w:fill="auto"/>
            <w:vAlign w:val="center"/>
            <w:hideMark/>
          </w:tcPr>
          <w:p w14:paraId="00E3BAC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5.557 (12,8%)</w:t>
            </w:r>
          </w:p>
        </w:tc>
      </w:tr>
      <w:tr w:rsidR="00DB3CBC" w:rsidRPr="00A15A5C" w14:paraId="2F6141F0" w14:textId="77777777" w:rsidTr="00893850">
        <w:trPr>
          <w:trHeight w:val="364"/>
        </w:trPr>
        <w:tc>
          <w:tcPr>
            <w:tcW w:w="1417" w:type="dxa"/>
            <w:tcBorders>
              <w:bottom w:val="single" w:sz="4" w:space="0" w:color="auto"/>
            </w:tcBorders>
            <w:shd w:val="clear" w:color="auto" w:fill="auto"/>
            <w:vAlign w:val="center"/>
            <w:hideMark/>
          </w:tcPr>
          <w:p w14:paraId="55118CA7" w14:textId="77777777" w:rsidR="00DB3CBC" w:rsidRPr="00A15A5C" w:rsidRDefault="00DB3CBC" w:rsidP="00893850">
            <w:pPr>
              <w:rPr>
                <w:rFonts w:ascii="Arial" w:hAnsi="Arial" w:cs="Arial"/>
                <w:color w:val="000000"/>
                <w:sz w:val="16"/>
                <w:szCs w:val="16"/>
              </w:rPr>
            </w:pPr>
          </w:p>
        </w:tc>
        <w:tc>
          <w:tcPr>
            <w:tcW w:w="993" w:type="dxa"/>
            <w:tcBorders>
              <w:bottom w:val="single" w:sz="4" w:space="0" w:color="auto"/>
            </w:tcBorders>
            <w:shd w:val="clear" w:color="auto" w:fill="auto"/>
            <w:vAlign w:val="center"/>
            <w:hideMark/>
          </w:tcPr>
          <w:p w14:paraId="1D4DD190" w14:textId="77777777" w:rsidR="00DB3CBC" w:rsidRPr="00A15A5C" w:rsidRDefault="00DB3CBC" w:rsidP="00893850">
            <w:pPr>
              <w:jc w:val="center"/>
              <w:rPr>
                <w:rFonts w:ascii="Arial" w:hAnsi="Arial" w:cs="Arial"/>
                <w:sz w:val="16"/>
                <w:szCs w:val="16"/>
              </w:rPr>
            </w:pPr>
          </w:p>
        </w:tc>
        <w:tc>
          <w:tcPr>
            <w:tcW w:w="1985" w:type="dxa"/>
            <w:tcBorders>
              <w:bottom w:val="single" w:sz="4" w:space="0" w:color="auto"/>
            </w:tcBorders>
            <w:shd w:val="clear" w:color="auto" w:fill="auto"/>
            <w:vAlign w:val="center"/>
            <w:hideMark/>
          </w:tcPr>
          <w:p w14:paraId="4D6D548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€ 1.070 milioni (€ 208 pro-capite)</w:t>
            </w:r>
          </w:p>
        </w:tc>
        <w:tc>
          <w:tcPr>
            <w:tcW w:w="1417" w:type="dxa"/>
            <w:tcBorders>
              <w:bottom w:val="single" w:sz="4" w:space="0" w:color="auto"/>
            </w:tcBorders>
            <w:shd w:val="clear" w:color="auto" w:fill="auto"/>
            <w:vAlign w:val="center"/>
            <w:hideMark/>
          </w:tcPr>
          <w:p w14:paraId="7651C43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€ 89,7 milioni (8,4%)</w:t>
            </w:r>
          </w:p>
        </w:tc>
        <w:tc>
          <w:tcPr>
            <w:tcW w:w="1843" w:type="dxa"/>
            <w:tcBorders>
              <w:bottom w:val="single" w:sz="4" w:space="0" w:color="auto"/>
            </w:tcBorders>
            <w:shd w:val="clear" w:color="auto" w:fill="auto"/>
            <w:vAlign w:val="center"/>
            <w:hideMark/>
          </w:tcPr>
          <w:p w14:paraId="39E1831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€ 80,7 milioni (90%)</w:t>
            </w:r>
          </w:p>
        </w:tc>
        <w:tc>
          <w:tcPr>
            <w:tcW w:w="2261" w:type="dxa"/>
            <w:tcBorders>
              <w:bottom w:val="single" w:sz="4" w:space="0" w:color="auto"/>
            </w:tcBorders>
            <w:shd w:val="clear" w:color="auto" w:fill="auto"/>
            <w:vAlign w:val="center"/>
            <w:hideMark/>
          </w:tcPr>
          <w:p w14:paraId="1B6FE99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€ 9,0 milioni (10%)</w:t>
            </w:r>
          </w:p>
        </w:tc>
      </w:tr>
      <w:tr w:rsidR="00DB3CBC" w:rsidRPr="00A15A5C" w14:paraId="0FAB66DE" w14:textId="77777777" w:rsidTr="00893850">
        <w:trPr>
          <w:trHeight w:val="596"/>
        </w:trPr>
        <w:tc>
          <w:tcPr>
            <w:tcW w:w="1417" w:type="dxa"/>
            <w:tcBorders>
              <w:top w:val="single" w:sz="4" w:space="0" w:color="auto"/>
              <w:bottom w:val="nil"/>
            </w:tcBorders>
            <w:shd w:val="clear" w:color="auto" w:fill="auto"/>
            <w:vAlign w:val="center"/>
            <w:hideMark/>
          </w:tcPr>
          <w:p w14:paraId="412B663C" w14:textId="77777777" w:rsidR="00DB3CBC" w:rsidRPr="00A15A5C" w:rsidRDefault="00893850" w:rsidP="00893850">
            <w:pPr>
              <w:rPr>
                <w:rFonts w:ascii="Arial" w:hAnsi="Arial" w:cs="Arial"/>
                <w:color w:val="000000"/>
                <w:sz w:val="16"/>
                <w:szCs w:val="16"/>
              </w:rPr>
            </w:pPr>
            <w:r w:rsidRPr="00A15A5C">
              <w:rPr>
                <w:rFonts w:ascii="Arial" w:hAnsi="Arial" w:cs="Arial"/>
                <w:color w:val="000000"/>
                <w:sz w:val="16"/>
                <w:szCs w:val="16"/>
              </w:rPr>
              <w:t>Mezzogiorno</w:t>
            </w:r>
          </w:p>
        </w:tc>
        <w:tc>
          <w:tcPr>
            <w:tcW w:w="993" w:type="dxa"/>
            <w:tcBorders>
              <w:top w:val="single" w:sz="4" w:space="0" w:color="auto"/>
              <w:bottom w:val="nil"/>
            </w:tcBorders>
            <w:shd w:val="clear" w:color="auto" w:fill="auto"/>
            <w:vAlign w:val="center"/>
            <w:hideMark/>
          </w:tcPr>
          <w:p w14:paraId="38FDE1A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2.725.319</w:t>
            </w:r>
          </w:p>
        </w:tc>
        <w:tc>
          <w:tcPr>
            <w:tcW w:w="1985" w:type="dxa"/>
            <w:tcBorders>
              <w:top w:val="single" w:sz="4" w:space="0" w:color="auto"/>
              <w:bottom w:val="nil"/>
            </w:tcBorders>
            <w:shd w:val="clear" w:color="auto" w:fill="auto"/>
            <w:vAlign w:val="center"/>
            <w:hideMark/>
          </w:tcPr>
          <w:p w14:paraId="7EC716B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377.877 (13,9%)</w:t>
            </w:r>
          </w:p>
        </w:tc>
        <w:tc>
          <w:tcPr>
            <w:tcW w:w="1417" w:type="dxa"/>
            <w:tcBorders>
              <w:top w:val="single" w:sz="4" w:space="0" w:color="auto"/>
              <w:bottom w:val="nil"/>
            </w:tcBorders>
            <w:shd w:val="clear" w:color="auto" w:fill="auto"/>
            <w:vAlign w:val="center"/>
            <w:hideMark/>
          </w:tcPr>
          <w:p w14:paraId="36C044A6"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44.972 (11,9%)</w:t>
            </w:r>
          </w:p>
        </w:tc>
        <w:tc>
          <w:tcPr>
            <w:tcW w:w="1843" w:type="dxa"/>
            <w:tcBorders>
              <w:top w:val="single" w:sz="4" w:space="0" w:color="auto"/>
              <w:bottom w:val="nil"/>
            </w:tcBorders>
            <w:shd w:val="clear" w:color="auto" w:fill="auto"/>
            <w:vAlign w:val="center"/>
            <w:hideMark/>
          </w:tcPr>
          <w:p w14:paraId="0916750A"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38.462 (85,5%)</w:t>
            </w:r>
          </w:p>
        </w:tc>
        <w:tc>
          <w:tcPr>
            <w:tcW w:w="2261" w:type="dxa"/>
            <w:tcBorders>
              <w:top w:val="single" w:sz="4" w:space="0" w:color="auto"/>
              <w:bottom w:val="nil"/>
            </w:tcBorders>
            <w:shd w:val="clear" w:color="auto" w:fill="auto"/>
            <w:vAlign w:val="center"/>
            <w:hideMark/>
          </w:tcPr>
          <w:p w14:paraId="3D94C73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6.510 (14,5%)</w:t>
            </w:r>
          </w:p>
        </w:tc>
      </w:tr>
      <w:tr w:rsidR="00DB3CBC" w:rsidRPr="00A15A5C" w14:paraId="66CC908E" w14:textId="77777777" w:rsidTr="00893850">
        <w:trPr>
          <w:trHeight w:val="76"/>
        </w:trPr>
        <w:tc>
          <w:tcPr>
            <w:tcW w:w="1417" w:type="dxa"/>
            <w:tcBorders>
              <w:top w:val="nil"/>
              <w:bottom w:val="single" w:sz="4" w:space="0" w:color="auto"/>
            </w:tcBorders>
            <w:shd w:val="clear" w:color="auto" w:fill="auto"/>
            <w:vAlign w:val="center"/>
            <w:hideMark/>
          </w:tcPr>
          <w:p w14:paraId="3D961CFA" w14:textId="77777777" w:rsidR="00DB3CBC" w:rsidRPr="00A15A5C" w:rsidRDefault="00DB3CBC" w:rsidP="00893850">
            <w:pPr>
              <w:rPr>
                <w:rFonts w:ascii="Arial" w:hAnsi="Arial" w:cs="Arial"/>
                <w:color w:val="000000"/>
                <w:sz w:val="16"/>
                <w:szCs w:val="16"/>
              </w:rPr>
            </w:pPr>
          </w:p>
        </w:tc>
        <w:tc>
          <w:tcPr>
            <w:tcW w:w="993" w:type="dxa"/>
            <w:tcBorders>
              <w:top w:val="nil"/>
              <w:bottom w:val="single" w:sz="4" w:space="0" w:color="auto"/>
            </w:tcBorders>
            <w:shd w:val="clear" w:color="auto" w:fill="auto"/>
            <w:vAlign w:val="center"/>
            <w:hideMark/>
          </w:tcPr>
          <w:p w14:paraId="42E283DA" w14:textId="77777777" w:rsidR="00DB3CBC" w:rsidRPr="00A15A5C" w:rsidRDefault="00DB3CBC" w:rsidP="00893850">
            <w:pPr>
              <w:jc w:val="center"/>
              <w:rPr>
                <w:rFonts w:ascii="Arial" w:hAnsi="Arial" w:cs="Arial"/>
                <w:sz w:val="16"/>
                <w:szCs w:val="16"/>
              </w:rPr>
            </w:pPr>
          </w:p>
        </w:tc>
        <w:tc>
          <w:tcPr>
            <w:tcW w:w="1985" w:type="dxa"/>
            <w:tcBorders>
              <w:top w:val="nil"/>
              <w:bottom w:val="single" w:sz="4" w:space="0" w:color="auto"/>
            </w:tcBorders>
            <w:shd w:val="clear" w:color="auto" w:fill="auto"/>
            <w:vAlign w:val="center"/>
            <w:hideMark/>
          </w:tcPr>
          <w:p w14:paraId="06E924A8"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€ 688 milioni (€ 252 pro-capite)</w:t>
            </w:r>
          </w:p>
        </w:tc>
        <w:tc>
          <w:tcPr>
            <w:tcW w:w="1417" w:type="dxa"/>
            <w:tcBorders>
              <w:top w:val="nil"/>
              <w:bottom w:val="single" w:sz="4" w:space="0" w:color="auto"/>
            </w:tcBorders>
            <w:shd w:val="clear" w:color="auto" w:fill="auto"/>
            <w:vAlign w:val="center"/>
            <w:hideMark/>
          </w:tcPr>
          <w:p w14:paraId="392FE812" w14:textId="77777777" w:rsidR="00DB3CBC" w:rsidRPr="00A15A5C" w:rsidRDefault="00DB3CBC" w:rsidP="00893850">
            <w:pPr>
              <w:jc w:val="center"/>
              <w:rPr>
                <w:rFonts w:ascii="Arial" w:hAnsi="Arial" w:cs="Arial"/>
                <w:sz w:val="16"/>
                <w:szCs w:val="16"/>
              </w:rPr>
            </w:pPr>
            <w:r w:rsidRPr="00A15A5C">
              <w:rPr>
                <w:rFonts w:ascii="Arial" w:hAnsi="Arial" w:cs="Arial"/>
                <w:color w:val="000000"/>
                <w:sz w:val="16"/>
                <w:szCs w:val="16"/>
              </w:rPr>
              <w:t>€ 103,9 milioni (15,1%)</w:t>
            </w:r>
          </w:p>
        </w:tc>
        <w:tc>
          <w:tcPr>
            <w:tcW w:w="1843" w:type="dxa"/>
            <w:tcBorders>
              <w:top w:val="nil"/>
              <w:bottom w:val="single" w:sz="4" w:space="0" w:color="auto"/>
            </w:tcBorders>
            <w:shd w:val="clear" w:color="auto" w:fill="auto"/>
            <w:vAlign w:val="center"/>
            <w:hideMark/>
          </w:tcPr>
          <w:p w14:paraId="7DE6C65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€ 90,5 milioni (87,1%)</w:t>
            </w:r>
          </w:p>
        </w:tc>
        <w:tc>
          <w:tcPr>
            <w:tcW w:w="2261" w:type="dxa"/>
            <w:tcBorders>
              <w:top w:val="nil"/>
              <w:bottom w:val="single" w:sz="4" w:space="0" w:color="auto"/>
            </w:tcBorders>
            <w:shd w:val="clear" w:color="auto" w:fill="auto"/>
            <w:vAlign w:val="center"/>
            <w:hideMark/>
          </w:tcPr>
          <w:p w14:paraId="1954D719"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€ 13,4 milioni (12,9%)</w:t>
            </w:r>
          </w:p>
        </w:tc>
      </w:tr>
    </w:tbl>
    <w:p w14:paraId="50D27373" w14:textId="77777777" w:rsidR="00DB3CBC" w:rsidRPr="00A15A5C" w:rsidRDefault="00DB3CBC">
      <w:pPr>
        <w:rPr>
          <w:rFonts w:ascii="Arial" w:eastAsia="Arial" w:hAnsi="Arial" w:cs="Arial"/>
          <w:b/>
          <w:sz w:val="24"/>
          <w:szCs w:val="24"/>
        </w:rPr>
      </w:pPr>
      <w:r w:rsidRPr="00A15A5C">
        <w:rPr>
          <w:rFonts w:ascii="Arial" w:eastAsia="Arial" w:hAnsi="Arial" w:cs="Arial"/>
          <w:b/>
          <w:sz w:val="24"/>
          <w:szCs w:val="24"/>
        </w:rPr>
        <w:br w:type="page"/>
      </w:r>
    </w:p>
    <w:tbl>
      <w:tblPr>
        <w:tblpPr w:leftFromText="141" w:rightFromText="141" w:vertAnchor="text" w:horzAnchor="margin" w:tblpY="351"/>
        <w:tblW w:w="9916"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273"/>
        <w:gridCol w:w="1021"/>
        <w:gridCol w:w="2261"/>
        <w:gridCol w:w="1698"/>
        <w:gridCol w:w="1835"/>
        <w:gridCol w:w="1828"/>
      </w:tblGrid>
      <w:tr w:rsidR="00DB3CBC" w:rsidRPr="00A15A5C" w14:paraId="025B5B46" w14:textId="77777777" w:rsidTr="00893850">
        <w:trPr>
          <w:trHeight w:val="276"/>
        </w:trPr>
        <w:tc>
          <w:tcPr>
            <w:tcW w:w="1273" w:type="dxa"/>
            <w:tcBorders>
              <w:top w:val="single" w:sz="4" w:space="0" w:color="auto"/>
              <w:bottom w:val="single" w:sz="4" w:space="0" w:color="auto"/>
            </w:tcBorders>
            <w:shd w:val="clear" w:color="auto" w:fill="auto"/>
            <w:vAlign w:val="center"/>
            <w:hideMark/>
          </w:tcPr>
          <w:p w14:paraId="34A3D0C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lastRenderedPageBreak/>
              <w:t>Area di residenza</w:t>
            </w:r>
          </w:p>
        </w:tc>
        <w:tc>
          <w:tcPr>
            <w:tcW w:w="1021" w:type="dxa"/>
            <w:tcBorders>
              <w:top w:val="single" w:sz="4" w:space="0" w:color="auto"/>
              <w:bottom w:val="single" w:sz="4" w:space="0" w:color="auto"/>
            </w:tcBorders>
            <w:shd w:val="clear" w:color="auto" w:fill="auto"/>
            <w:vAlign w:val="center"/>
            <w:hideMark/>
          </w:tcPr>
          <w:p w14:paraId="0B8D3F8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Popolazione 0-14</w:t>
            </w:r>
          </w:p>
        </w:tc>
        <w:tc>
          <w:tcPr>
            <w:tcW w:w="2261" w:type="dxa"/>
            <w:tcBorders>
              <w:top w:val="single" w:sz="4" w:space="0" w:color="auto"/>
              <w:bottom w:val="single" w:sz="4" w:space="0" w:color="auto"/>
            </w:tcBorders>
            <w:shd w:val="clear" w:color="auto" w:fill="auto"/>
            <w:vAlign w:val="center"/>
            <w:hideMark/>
          </w:tcPr>
          <w:p w14:paraId="44CA103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Totale di ricoveri ad alta complessità (%) e relativi costi (totale e pro-capite)</w:t>
            </w:r>
          </w:p>
        </w:tc>
        <w:tc>
          <w:tcPr>
            <w:tcW w:w="1698" w:type="dxa"/>
            <w:tcBorders>
              <w:top w:val="single" w:sz="4" w:space="0" w:color="auto"/>
              <w:bottom w:val="single" w:sz="4" w:space="0" w:color="auto"/>
            </w:tcBorders>
            <w:shd w:val="clear" w:color="auto" w:fill="auto"/>
            <w:vAlign w:val="center"/>
            <w:hideMark/>
          </w:tcPr>
          <w:p w14:paraId="16DC7AA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Ricoveri ad alta complessità fuori regione (%) e relativi costi</w:t>
            </w:r>
          </w:p>
        </w:tc>
        <w:tc>
          <w:tcPr>
            <w:tcW w:w="1835" w:type="dxa"/>
            <w:tcBorders>
              <w:top w:val="single" w:sz="4" w:space="0" w:color="auto"/>
              <w:bottom w:val="single" w:sz="4" w:space="0" w:color="auto"/>
            </w:tcBorders>
            <w:shd w:val="clear" w:color="auto" w:fill="auto"/>
            <w:vAlign w:val="center"/>
            <w:hideMark/>
          </w:tcPr>
          <w:p w14:paraId="235A116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Mobilità passiva per alta complessità verso il Centro-Nord (%) e relativi costi</w:t>
            </w:r>
          </w:p>
        </w:tc>
        <w:tc>
          <w:tcPr>
            <w:tcW w:w="1828" w:type="dxa"/>
            <w:tcBorders>
              <w:top w:val="single" w:sz="4" w:space="0" w:color="auto"/>
              <w:bottom w:val="single" w:sz="4" w:space="0" w:color="auto"/>
            </w:tcBorders>
            <w:shd w:val="clear" w:color="auto" w:fill="auto"/>
            <w:vAlign w:val="center"/>
            <w:hideMark/>
          </w:tcPr>
          <w:p w14:paraId="5159F00F"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xml:space="preserve">Mobilità passiva per alta complessità verso il </w:t>
            </w:r>
            <w:r w:rsidR="00893850" w:rsidRPr="00A15A5C">
              <w:rPr>
                <w:rFonts w:ascii="Arial" w:hAnsi="Arial" w:cs="Arial"/>
                <w:color w:val="000000"/>
                <w:sz w:val="16"/>
                <w:szCs w:val="16"/>
              </w:rPr>
              <w:t>Mezzogiorno</w:t>
            </w:r>
            <w:r w:rsidRPr="00A15A5C">
              <w:rPr>
                <w:rFonts w:ascii="Arial" w:hAnsi="Arial" w:cs="Arial"/>
                <w:color w:val="000000"/>
                <w:sz w:val="16"/>
                <w:szCs w:val="16"/>
              </w:rPr>
              <w:t xml:space="preserve"> (%) e relativi costi </w:t>
            </w:r>
          </w:p>
        </w:tc>
      </w:tr>
      <w:tr w:rsidR="00DB3CBC" w:rsidRPr="00A15A5C" w14:paraId="77336978" w14:textId="77777777" w:rsidTr="00893850">
        <w:trPr>
          <w:trHeight w:val="596"/>
        </w:trPr>
        <w:tc>
          <w:tcPr>
            <w:tcW w:w="1273" w:type="dxa"/>
            <w:tcBorders>
              <w:top w:val="single" w:sz="4" w:space="0" w:color="auto"/>
            </w:tcBorders>
            <w:shd w:val="clear" w:color="auto" w:fill="auto"/>
            <w:vAlign w:val="center"/>
            <w:hideMark/>
          </w:tcPr>
          <w:p w14:paraId="05C94E85" w14:textId="77777777" w:rsidR="00DB3CBC" w:rsidRPr="00A15A5C" w:rsidRDefault="00DB3CBC" w:rsidP="00893850">
            <w:pPr>
              <w:rPr>
                <w:rFonts w:ascii="Arial" w:hAnsi="Arial" w:cs="Arial"/>
                <w:color w:val="000000"/>
                <w:sz w:val="16"/>
                <w:szCs w:val="16"/>
              </w:rPr>
            </w:pPr>
            <w:r w:rsidRPr="00A15A5C">
              <w:rPr>
                <w:rFonts w:ascii="Arial" w:hAnsi="Arial" w:cs="Arial"/>
                <w:color w:val="000000"/>
                <w:sz w:val="16"/>
                <w:szCs w:val="16"/>
              </w:rPr>
              <w:t>Centro-Nord</w:t>
            </w:r>
          </w:p>
        </w:tc>
        <w:tc>
          <w:tcPr>
            <w:tcW w:w="1021" w:type="dxa"/>
            <w:tcBorders>
              <w:top w:val="single" w:sz="4" w:space="0" w:color="auto"/>
            </w:tcBorders>
            <w:shd w:val="clear" w:color="auto" w:fill="auto"/>
            <w:vAlign w:val="center"/>
            <w:hideMark/>
          </w:tcPr>
          <w:p w14:paraId="16D5FFB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5.146.568</w:t>
            </w:r>
          </w:p>
        </w:tc>
        <w:tc>
          <w:tcPr>
            <w:tcW w:w="2261" w:type="dxa"/>
            <w:tcBorders>
              <w:top w:val="single" w:sz="4" w:space="0" w:color="auto"/>
            </w:tcBorders>
            <w:shd w:val="clear" w:color="auto" w:fill="auto"/>
            <w:vAlign w:val="center"/>
            <w:hideMark/>
          </w:tcPr>
          <w:p w14:paraId="2AC0C1B4"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16.673 (3,3%)</w:t>
            </w:r>
          </w:p>
        </w:tc>
        <w:tc>
          <w:tcPr>
            <w:tcW w:w="1698" w:type="dxa"/>
            <w:tcBorders>
              <w:top w:val="single" w:sz="4" w:space="0" w:color="auto"/>
            </w:tcBorders>
            <w:shd w:val="clear" w:color="auto" w:fill="auto"/>
            <w:vAlign w:val="center"/>
            <w:hideMark/>
          </w:tcPr>
          <w:p w14:paraId="3FD3EEF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1.758 (10,5%)</w:t>
            </w:r>
          </w:p>
        </w:tc>
        <w:tc>
          <w:tcPr>
            <w:tcW w:w="1835" w:type="dxa"/>
            <w:tcBorders>
              <w:top w:val="single" w:sz="4" w:space="0" w:color="auto"/>
            </w:tcBorders>
            <w:shd w:val="clear" w:color="auto" w:fill="auto"/>
            <w:vAlign w:val="center"/>
            <w:hideMark/>
          </w:tcPr>
          <w:p w14:paraId="40846B3D"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1.673 (95,2%)</w:t>
            </w:r>
          </w:p>
        </w:tc>
        <w:tc>
          <w:tcPr>
            <w:tcW w:w="1828" w:type="dxa"/>
            <w:tcBorders>
              <w:top w:val="single" w:sz="4" w:space="0" w:color="auto"/>
            </w:tcBorders>
            <w:shd w:val="clear" w:color="auto" w:fill="auto"/>
            <w:vAlign w:val="center"/>
            <w:hideMark/>
          </w:tcPr>
          <w:p w14:paraId="3312E6F7"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85 (4,8%)</w:t>
            </w:r>
          </w:p>
        </w:tc>
      </w:tr>
      <w:tr w:rsidR="00DB3CBC" w:rsidRPr="00A15A5C" w14:paraId="7A4EB4A4" w14:textId="77777777" w:rsidTr="00893850">
        <w:trPr>
          <w:trHeight w:val="364"/>
        </w:trPr>
        <w:tc>
          <w:tcPr>
            <w:tcW w:w="1273" w:type="dxa"/>
            <w:tcBorders>
              <w:bottom w:val="single" w:sz="4" w:space="0" w:color="auto"/>
            </w:tcBorders>
            <w:shd w:val="clear" w:color="auto" w:fill="auto"/>
            <w:vAlign w:val="center"/>
            <w:hideMark/>
          </w:tcPr>
          <w:p w14:paraId="0A621556" w14:textId="77777777" w:rsidR="00DB3CBC" w:rsidRPr="00A15A5C" w:rsidRDefault="00DB3CBC" w:rsidP="00893850">
            <w:pPr>
              <w:rPr>
                <w:rFonts w:ascii="Arial" w:hAnsi="Arial" w:cs="Arial"/>
                <w:color w:val="000000"/>
                <w:sz w:val="16"/>
                <w:szCs w:val="16"/>
              </w:rPr>
            </w:pPr>
          </w:p>
        </w:tc>
        <w:tc>
          <w:tcPr>
            <w:tcW w:w="1021" w:type="dxa"/>
            <w:tcBorders>
              <w:bottom w:val="single" w:sz="4" w:space="0" w:color="auto"/>
            </w:tcBorders>
            <w:shd w:val="clear" w:color="auto" w:fill="auto"/>
            <w:vAlign w:val="center"/>
            <w:hideMark/>
          </w:tcPr>
          <w:p w14:paraId="6FD937B7" w14:textId="77777777" w:rsidR="00DB3CBC" w:rsidRPr="00A15A5C" w:rsidRDefault="00DB3CBC" w:rsidP="00893850">
            <w:pPr>
              <w:jc w:val="center"/>
              <w:rPr>
                <w:rFonts w:ascii="Arial" w:hAnsi="Arial" w:cs="Arial"/>
                <w:sz w:val="16"/>
                <w:szCs w:val="16"/>
              </w:rPr>
            </w:pPr>
          </w:p>
        </w:tc>
        <w:tc>
          <w:tcPr>
            <w:tcW w:w="2261" w:type="dxa"/>
            <w:tcBorders>
              <w:bottom w:val="single" w:sz="4" w:space="0" w:color="auto"/>
            </w:tcBorders>
            <w:shd w:val="clear" w:color="auto" w:fill="auto"/>
            <w:vAlign w:val="center"/>
            <w:hideMark/>
          </w:tcPr>
          <w:p w14:paraId="7B3B5F83" w14:textId="77777777" w:rsidR="00DB3CBC" w:rsidRPr="00A15A5C" w:rsidRDefault="00DB3CBC" w:rsidP="00893850">
            <w:pPr>
              <w:jc w:val="center"/>
              <w:rPr>
                <w:rFonts w:ascii="Arial" w:hAnsi="Arial" w:cs="Arial"/>
                <w:sz w:val="16"/>
                <w:szCs w:val="16"/>
              </w:rPr>
            </w:pPr>
            <w:r w:rsidRPr="00A15A5C">
              <w:rPr>
                <w:rFonts w:ascii="Arial" w:hAnsi="Arial" w:cs="Arial"/>
                <w:color w:val="000000"/>
                <w:sz w:val="16"/>
                <w:szCs w:val="16"/>
              </w:rPr>
              <w:t>€ 302 milioni (€ 59 pro-capite)</w:t>
            </w:r>
          </w:p>
        </w:tc>
        <w:tc>
          <w:tcPr>
            <w:tcW w:w="1698" w:type="dxa"/>
            <w:tcBorders>
              <w:bottom w:val="single" w:sz="4" w:space="0" w:color="auto"/>
            </w:tcBorders>
            <w:shd w:val="clear" w:color="auto" w:fill="auto"/>
            <w:vAlign w:val="center"/>
            <w:hideMark/>
          </w:tcPr>
          <w:p w14:paraId="2FCC247E" w14:textId="77777777" w:rsidR="00DB3CBC" w:rsidRPr="00A15A5C" w:rsidRDefault="00DB3CBC" w:rsidP="00893850">
            <w:pPr>
              <w:jc w:val="center"/>
              <w:rPr>
                <w:rFonts w:ascii="Arial" w:hAnsi="Arial" w:cs="Arial"/>
                <w:sz w:val="16"/>
                <w:szCs w:val="16"/>
              </w:rPr>
            </w:pPr>
            <w:r w:rsidRPr="00A15A5C">
              <w:rPr>
                <w:rFonts w:ascii="Arial" w:hAnsi="Arial" w:cs="Arial"/>
                <w:color w:val="000000"/>
                <w:sz w:val="16"/>
                <w:szCs w:val="16"/>
              </w:rPr>
              <w:t>€ 29,5 milioni (9,7%)</w:t>
            </w:r>
          </w:p>
        </w:tc>
        <w:tc>
          <w:tcPr>
            <w:tcW w:w="1835" w:type="dxa"/>
            <w:tcBorders>
              <w:bottom w:val="single" w:sz="4" w:space="0" w:color="auto"/>
            </w:tcBorders>
            <w:shd w:val="clear" w:color="auto" w:fill="auto"/>
            <w:vAlign w:val="center"/>
            <w:hideMark/>
          </w:tcPr>
          <w:p w14:paraId="45A0D20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€ 27,6 milioni (93,6%)</w:t>
            </w:r>
          </w:p>
        </w:tc>
        <w:tc>
          <w:tcPr>
            <w:tcW w:w="1828" w:type="dxa"/>
            <w:tcBorders>
              <w:bottom w:val="single" w:sz="4" w:space="0" w:color="auto"/>
            </w:tcBorders>
            <w:shd w:val="clear" w:color="auto" w:fill="auto"/>
            <w:vAlign w:val="center"/>
            <w:hideMark/>
          </w:tcPr>
          <w:p w14:paraId="45A58792"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€ 1,9 milioni (6,4%)</w:t>
            </w:r>
          </w:p>
        </w:tc>
      </w:tr>
      <w:tr w:rsidR="00DB3CBC" w:rsidRPr="00A15A5C" w14:paraId="2FC365B8" w14:textId="77777777" w:rsidTr="00893850">
        <w:trPr>
          <w:trHeight w:val="596"/>
        </w:trPr>
        <w:tc>
          <w:tcPr>
            <w:tcW w:w="1273" w:type="dxa"/>
            <w:tcBorders>
              <w:top w:val="single" w:sz="4" w:space="0" w:color="auto"/>
              <w:bottom w:val="nil"/>
            </w:tcBorders>
            <w:shd w:val="clear" w:color="auto" w:fill="auto"/>
            <w:vAlign w:val="center"/>
            <w:hideMark/>
          </w:tcPr>
          <w:p w14:paraId="3874F828" w14:textId="77777777" w:rsidR="00DB3CBC" w:rsidRPr="00A15A5C" w:rsidRDefault="00893850" w:rsidP="00893850">
            <w:pPr>
              <w:rPr>
                <w:rFonts w:ascii="Arial" w:hAnsi="Arial" w:cs="Arial"/>
                <w:color w:val="000000"/>
                <w:sz w:val="16"/>
                <w:szCs w:val="16"/>
              </w:rPr>
            </w:pPr>
            <w:r w:rsidRPr="00A15A5C">
              <w:rPr>
                <w:rFonts w:ascii="Arial" w:hAnsi="Arial" w:cs="Arial"/>
                <w:color w:val="000000"/>
                <w:sz w:val="16"/>
                <w:szCs w:val="16"/>
              </w:rPr>
              <w:t>Mezzogiorno</w:t>
            </w:r>
          </w:p>
        </w:tc>
        <w:tc>
          <w:tcPr>
            <w:tcW w:w="1021" w:type="dxa"/>
            <w:tcBorders>
              <w:top w:val="single" w:sz="4" w:space="0" w:color="auto"/>
              <w:bottom w:val="nil"/>
            </w:tcBorders>
            <w:shd w:val="clear" w:color="auto" w:fill="auto"/>
            <w:vAlign w:val="center"/>
            <w:hideMark/>
          </w:tcPr>
          <w:p w14:paraId="7A60E4A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2.725.319</w:t>
            </w:r>
          </w:p>
        </w:tc>
        <w:tc>
          <w:tcPr>
            <w:tcW w:w="2261" w:type="dxa"/>
            <w:tcBorders>
              <w:top w:val="single" w:sz="4" w:space="0" w:color="auto"/>
              <w:bottom w:val="nil"/>
            </w:tcBorders>
            <w:shd w:val="clear" w:color="auto" w:fill="auto"/>
            <w:vAlign w:val="center"/>
            <w:hideMark/>
          </w:tcPr>
          <w:p w14:paraId="7231D25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9.978 (3,7%)</w:t>
            </w:r>
          </w:p>
        </w:tc>
        <w:tc>
          <w:tcPr>
            <w:tcW w:w="1698" w:type="dxa"/>
            <w:tcBorders>
              <w:top w:val="single" w:sz="4" w:space="0" w:color="auto"/>
              <w:bottom w:val="nil"/>
            </w:tcBorders>
            <w:shd w:val="clear" w:color="auto" w:fill="auto"/>
            <w:vAlign w:val="center"/>
            <w:hideMark/>
          </w:tcPr>
          <w:p w14:paraId="7C5FE3AB"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2.127 (21,3%)</w:t>
            </w:r>
          </w:p>
        </w:tc>
        <w:tc>
          <w:tcPr>
            <w:tcW w:w="1835" w:type="dxa"/>
            <w:tcBorders>
              <w:top w:val="single" w:sz="4" w:space="0" w:color="auto"/>
              <w:bottom w:val="nil"/>
            </w:tcBorders>
            <w:shd w:val="clear" w:color="auto" w:fill="auto"/>
            <w:vAlign w:val="center"/>
            <w:hideMark/>
          </w:tcPr>
          <w:p w14:paraId="05AE05A5"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1.867 (87,8%)</w:t>
            </w:r>
          </w:p>
        </w:tc>
        <w:tc>
          <w:tcPr>
            <w:tcW w:w="1828" w:type="dxa"/>
            <w:tcBorders>
              <w:top w:val="single" w:sz="4" w:space="0" w:color="auto"/>
              <w:bottom w:val="nil"/>
            </w:tcBorders>
            <w:shd w:val="clear" w:color="auto" w:fill="auto"/>
            <w:vAlign w:val="center"/>
            <w:hideMark/>
          </w:tcPr>
          <w:p w14:paraId="001B3B6D" w14:textId="77777777" w:rsidR="00DB3CBC" w:rsidRPr="00A15A5C" w:rsidRDefault="00DB3CBC" w:rsidP="00893850">
            <w:pPr>
              <w:jc w:val="center"/>
              <w:rPr>
                <w:rFonts w:ascii="Arial" w:hAnsi="Arial" w:cs="Arial"/>
                <w:color w:val="000000"/>
                <w:sz w:val="16"/>
                <w:szCs w:val="16"/>
              </w:rPr>
            </w:pPr>
            <w:r w:rsidRPr="00A15A5C">
              <w:rPr>
                <w:rFonts w:ascii="Arial" w:eastAsia="Arial" w:hAnsi="Arial" w:cs="Arial"/>
                <w:color w:val="000000"/>
                <w:sz w:val="16"/>
                <w:szCs w:val="16"/>
              </w:rPr>
              <w:t>260 (12,2%)</w:t>
            </w:r>
          </w:p>
        </w:tc>
      </w:tr>
      <w:tr w:rsidR="00DB3CBC" w:rsidRPr="00A15A5C" w14:paraId="223B73B7" w14:textId="77777777" w:rsidTr="00893850">
        <w:trPr>
          <w:trHeight w:val="76"/>
        </w:trPr>
        <w:tc>
          <w:tcPr>
            <w:tcW w:w="1273" w:type="dxa"/>
            <w:tcBorders>
              <w:top w:val="nil"/>
              <w:bottom w:val="single" w:sz="4" w:space="0" w:color="auto"/>
            </w:tcBorders>
            <w:shd w:val="clear" w:color="auto" w:fill="auto"/>
            <w:vAlign w:val="center"/>
            <w:hideMark/>
          </w:tcPr>
          <w:p w14:paraId="76220242" w14:textId="77777777" w:rsidR="00DB3CBC" w:rsidRPr="00A15A5C" w:rsidRDefault="00DB3CBC" w:rsidP="00893850">
            <w:pPr>
              <w:jc w:val="center"/>
              <w:rPr>
                <w:rFonts w:ascii="Arial" w:hAnsi="Arial" w:cs="Arial"/>
                <w:color w:val="000000"/>
                <w:sz w:val="16"/>
                <w:szCs w:val="16"/>
              </w:rPr>
            </w:pPr>
          </w:p>
        </w:tc>
        <w:tc>
          <w:tcPr>
            <w:tcW w:w="1021" w:type="dxa"/>
            <w:tcBorders>
              <w:top w:val="nil"/>
              <w:bottom w:val="single" w:sz="4" w:space="0" w:color="auto"/>
            </w:tcBorders>
            <w:shd w:val="clear" w:color="auto" w:fill="auto"/>
            <w:vAlign w:val="center"/>
            <w:hideMark/>
          </w:tcPr>
          <w:p w14:paraId="11BD91F8" w14:textId="77777777" w:rsidR="00DB3CBC" w:rsidRPr="00A15A5C" w:rsidRDefault="00DB3CBC" w:rsidP="00893850">
            <w:pPr>
              <w:jc w:val="center"/>
              <w:rPr>
                <w:rFonts w:ascii="Arial" w:hAnsi="Arial" w:cs="Arial"/>
                <w:sz w:val="16"/>
                <w:szCs w:val="16"/>
              </w:rPr>
            </w:pPr>
          </w:p>
        </w:tc>
        <w:tc>
          <w:tcPr>
            <w:tcW w:w="2261" w:type="dxa"/>
            <w:tcBorders>
              <w:top w:val="nil"/>
              <w:bottom w:val="single" w:sz="4" w:space="0" w:color="auto"/>
            </w:tcBorders>
            <w:shd w:val="clear" w:color="auto" w:fill="auto"/>
            <w:vAlign w:val="center"/>
            <w:hideMark/>
          </w:tcPr>
          <w:p w14:paraId="30959177" w14:textId="77777777" w:rsidR="00DB3CBC" w:rsidRPr="00A15A5C" w:rsidRDefault="00DB3CBC" w:rsidP="00893850">
            <w:pPr>
              <w:jc w:val="center"/>
              <w:rPr>
                <w:rFonts w:ascii="Arial" w:hAnsi="Arial" w:cs="Arial"/>
                <w:sz w:val="16"/>
                <w:szCs w:val="16"/>
              </w:rPr>
            </w:pPr>
            <w:r w:rsidRPr="00A15A5C">
              <w:rPr>
                <w:rFonts w:ascii="Arial" w:hAnsi="Arial" w:cs="Arial"/>
                <w:color w:val="000000"/>
                <w:sz w:val="16"/>
                <w:szCs w:val="16"/>
              </w:rPr>
              <w:t>€ 186 milioni (€ 68 pro-capite)</w:t>
            </w:r>
          </w:p>
        </w:tc>
        <w:tc>
          <w:tcPr>
            <w:tcW w:w="1698" w:type="dxa"/>
            <w:tcBorders>
              <w:top w:val="nil"/>
              <w:bottom w:val="single" w:sz="4" w:space="0" w:color="auto"/>
            </w:tcBorders>
            <w:shd w:val="clear" w:color="auto" w:fill="auto"/>
            <w:vAlign w:val="center"/>
            <w:hideMark/>
          </w:tcPr>
          <w:p w14:paraId="74FA48CF" w14:textId="77777777" w:rsidR="00DB3CBC" w:rsidRPr="00A15A5C" w:rsidRDefault="00DB3CBC" w:rsidP="00893850">
            <w:pPr>
              <w:jc w:val="center"/>
              <w:rPr>
                <w:rFonts w:ascii="Arial" w:hAnsi="Arial" w:cs="Arial"/>
                <w:sz w:val="16"/>
                <w:szCs w:val="16"/>
              </w:rPr>
            </w:pPr>
            <w:r w:rsidRPr="00A15A5C">
              <w:rPr>
                <w:rFonts w:ascii="Arial" w:hAnsi="Arial" w:cs="Arial"/>
                <w:color w:val="000000"/>
                <w:sz w:val="16"/>
                <w:szCs w:val="16"/>
              </w:rPr>
              <w:t>€ 36,6 milioni (19,7%)</w:t>
            </w:r>
          </w:p>
        </w:tc>
        <w:tc>
          <w:tcPr>
            <w:tcW w:w="1835" w:type="dxa"/>
            <w:tcBorders>
              <w:top w:val="nil"/>
              <w:bottom w:val="single" w:sz="4" w:space="0" w:color="auto"/>
            </w:tcBorders>
            <w:shd w:val="clear" w:color="auto" w:fill="auto"/>
            <w:vAlign w:val="center"/>
            <w:hideMark/>
          </w:tcPr>
          <w:p w14:paraId="40C83173"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€ 32,3 milioni (88,3%)</w:t>
            </w:r>
          </w:p>
        </w:tc>
        <w:tc>
          <w:tcPr>
            <w:tcW w:w="1828" w:type="dxa"/>
            <w:tcBorders>
              <w:top w:val="nil"/>
              <w:bottom w:val="single" w:sz="4" w:space="0" w:color="auto"/>
            </w:tcBorders>
            <w:shd w:val="clear" w:color="auto" w:fill="auto"/>
            <w:vAlign w:val="center"/>
            <w:hideMark/>
          </w:tcPr>
          <w:p w14:paraId="5B1DD32E" w14:textId="77777777" w:rsidR="00DB3CBC" w:rsidRPr="00A15A5C" w:rsidRDefault="00DB3CBC" w:rsidP="00893850">
            <w:pPr>
              <w:jc w:val="center"/>
              <w:rPr>
                <w:rFonts w:ascii="Arial" w:hAnsi="Arial" w:cs="Arial"/>
                <w:color w:val="000000"/>
                <w:sz w:val="16"/>
                <w:szCs w:val="16"/>
              </w:rPr>
            </w:pPr>
            <w:r w:rsidRPr="00A15A5C">
              <w:rPr>
                <w:rFonts w:ascii="Arial" w:hAnsi="Arial" w:cs="Arial"/>
                <w:color w:val="000000"/>
                <w:sz w:val="16"/>
                <w:szCs w:val="16"/>
              </w:rPr>
              <w:t>€ 4,3 milioni (11,7%)</w:t>
            </w:r>
          </w:p>
        </w:tc>
      </w:tr>
    </w:tbl>
    <w:p w14:paraId="5DD2EB73" w14:textId="77777777" w:rsidR="00DB3CBC" w:rsidRPr="00A15A5C" w:rsidRDefault="00DB3CBC">
      <w:pPr>
        <w:rPr>
          <w:rFonts w:ascii="Arial" w:eastAsia="Arial" w:hAnsi="Arial" w:cs="Arial"/>
          <w:b/>
          <w:sz w:val="24"/>
          <w:szCs w:val="24"/>
        </w:rPr>
      </w:pPr>
      <w:r w:rsidRPr="00A15A5C">
        <w:rPr>
          <w:rFonts w:ascii="Arial" w:hAnsi="Arial" w:cs="Arial"/>
          <w:b/>
          <w:bCs/>
          <w:sz w:val="20"/>
          <w:szCs w:val="20"/>
        </w:rPr>
        <w:t>Tabella 4</w:t>
      </w:r>
      <w:r w:rsidRPr="00A15A5C">
        <w:rPr>
          <w:rFonts w:ascii="Arial" w:hAnsi="Arial" w:cs="Arial"/>
          <w:sz w:val="20"/>
          <w:szCs w:val="20"/>
        </w:rPr>
        <w:t>.</w:t>
      </w:r>
      <w:r w:rsidRPr="00A15A5C">
        <w:t xml:space="preserve"> </w:t>
      </w:r>
      <w:r w:rsidRPr="00A15A5C">
        <w:rPr>
          <w:rFonts w:ascii="Arial" w:hAnsi="Arial" w:cs="Arial"/>
          <w:sz w:val="20"/>
          <w:szCs w:val="20"/>
        </w:rPr>
        <w:t>Mobilità passiva e relativi costi tra aree geografiche d'Italia per ricoveri ad alta complessità (2019)</w:t>
      </w:r>
    </w:p>
    <w:p w14:paraId="7F9F8EEA" w14:textId="77777777" w:rsidR="00DB3CBC" w:rsidRPr="00A15A5C" w:rsidRDefault="00DB3CBC">
      <w:pPr>
        <w:rPr>
          <w:rFonts w:ascii="Arial" w:hAnsi="Arial" w:cs="Arial"/>
        </w:rPr>
      </w:pPr>
      <w:r w:rsidRPr="00A15A5C">
        <w:rPr>
          <w:rFonts w:ascii="Arial" w:hAnsi="Arial" w:cs="Arial"/>
        </w:rPr>
        <w:br w:type="page"/>
      </w:r>
    </w:p>
    <w:p w14:paraId="273A95AE" w14:textId="77777777" w:rsidR="00291D7B" w:rsidRPr="00A15A5C" w:rsidRDefault="00291D7B" w:rsidP="00291D7B">
      <w:pPr>
        <w:spacing w:line="360" w:lineRule="auto"/>
        <w:jc w:val="both"/>
        <w:rPr>
          <w:rFonts w:ascii="Arial" w:hAnsi="Arial" w:cs="Arial"/>
          <w:sz w:val="20"/>
          <w:szCs w:val="20"/>
        </w:rPr>
      </w:pPr>
      <w:r w:rsidRPr="00A15A5C">
        <w:rPr>
          <w:rFonts w:ascii="Arial" w:hAnsi="Arial" w:cs="Arial"/>
          <w:b/>
          <w:bCs/>
          <w:sz w:val="20"/>
          <w:szCs w:val="20"/>
        </w:rPr>
        <w:lastRenderedPageBreak/>
        <w:t>Figura 1.</w:t>
      </w:r>
      <w:r w:rsidRPr="00A15A5C">
        <w:t xml:space="preserve"> </w:t>
      </w:r>
      <w:r w:rsidRPr="00A15A5C">
        <w:rPr>
          <w:rFonts w:ascii="Arial" w:hAnsi="Arial" w:cs="Arial"/>
          <w:sz w:val="20"/>
          <w:szCs w:val="20"/>
        </w:rPr>
        <w:t>Mobilità passiva tra aree geografiche in Italia: ospedalizzazioni totali e ricoveri ad alta complessità (2019)</w:t>
      </w:r>
    </w:p>
    <w:p w14:paraId="0D8CF2A1" w14:textId="38E7DA72" w:rsidR="00291D7B" w:rsidRPr="00A15A5C" w:rsidRDefault="00A702E5" w:rsidP="00291D7B">
      <w:pPr>
        <w:spacing w:line="360" w:lineRule="auto"/>
        <w:jc w:val="both"/>
        <w:rPr>
          <w:rFonts w:ascii="Arial" w:hAnsi="Arial" w:cs="Arial"/>
          <w:sz w:val="20"/>
          <w:szCs w:val="20"/>
        </w:rPr>
      </w:pPr>
      <w:r w:rsidRPr="00A15A5C">
        <w:rPr>
          <w:noProof/>
        </w:rPr>
        <w:drawing>
          <wp:inline distT="0" distB="0" distL="0" distR="0" wp14:anchorId="31B420CE" wp14:editId="416499DF">
            <wp:extent cx="5615416" cy="317942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9036" cy="3187139"/>
                    </a:xfrm>
                    <a:prstGeom prst="rect">
                      <a:avLst/>
                    </a:prstGeom>
                  </pic:spPr>
                </pic:pic>
              </a:graphicData>
            </a:graphic>
          </wp:inline>
        </w:drawing>
      </w:r>
    </w:p>
    <w:p w14:paraId="7344C9BA" w14:textId="77777777" w:rsidR="00291D7B" w:rsidRPr="00A15A5C" w:rsidRDefault="00291D7B" w:rsidP="00291D7B">
      <w:pPr>
        <w:spacing w:line="360" w:lineRule="auto"/>
        <w:jc w:val="both"/>
        <w:rPr>
          <w:rFonts w:ascii="Arial" w:hAnsi="Arial" w:cs="Arial"/>
          <w:sz w:val="20"/>
          <w:szCs w:val="20"/>
        </w:rPr>
      </w:pPr>
    </w:p>
    <w:p w14:paraId="30FBCA19" w14:textId="77777777" w:rsidR="00291D7B" w:rsidRPr="00A15A5C" w:rsidRDefault="00291D7B" w:rsidP="00291D7B">
      <w:pPr>
        <w:spacing w:line="360" w:lineRule="auto"/>
        <w:jc w:val="both"/>
        <w:rPr>
          <w:rFonts w:ascii="Arial" w:hAnsi="Arial" w:cs="Arial"/>
          <w:sz w:val="20"/>
          <w:szCs w:val="20"/>
        </w:rPr>
      </w:pPr>
    </w:p>
    <w:p w14:paraId="4684FFB7" w14:textId="77777777" w:rsidR="00291D7B" w:rsidRPr="00A15A5C" w:rsidRDefault="00291D7B" w:rsidP="00291D7B">
      <w:pPr>
        <w:spacing w:line="360" w:lineRule="auto"/>
        <w:jc w:val="both"/>
        <w:rPr>
          <w:rFonts w:ascii="Arial" w:hAnsi="Arial" w:cs="Arial"/>
          <w:sz w:val="20"/>
          <w:szCs w:val="20"/>
        </w:rPr>
      </w:pPr>
      <w:r w:rsidRPr="00A15A5C">
        <w:rPr>
          <w:rFonts w:ascii="Arial" w:hAnsi="Arial" w:cs="Arial"/>
          <w:b/>
          <w:bCs/>
          <w:sz w:val="20"/>
          <w:szCs w:val="20"/>
        </w:rPr>
        <w:t>Figura 2.</w:t>
      </w:r>
      <w:r w:rsidRPr="00A15A5C">
        <w:rPr>
          <w:rFonts w:ascii="Arial" w:hAnsi="Arial" w:cs="Arial"/>
          <w:sz w:val="20"/>
          <w:szCs w:val="20"/>
        </w:rPr>
        <w:t xml:space="preserve"> Costi (percentuale sul costo totale dei ricoveri) della mobilità passiva tra aree geografiche in Italia per ospedalizzazioni totali e ricoveri ad alta complessità (2019)</w:t>
      </w:r>
    </w:p>
    <w:p w14:paraId="7752F920" w14:textId="24060770" w:rsidR="00291D7B" w:rsidRPr="00A15A5C" w:rsidRDefault="00A702E5" w:rsidP="00291D7B">
      <w:pPr>
        <w:spacing w:line="360" w:lineRule="auto"/>
        <w:jc w:val="both"/>
        <w:rPr>
          <w:rFonts w:ascii="Arial" w:hAnsi="Arial" w:cs="Arial"/>
          <w:sz w:val="20"/>
          <w:szCs w:val="20"/>
        </w:rPr>
      </w:pPr>
      <w:r w:rsidRPr="00A15A5C">
        <w:rPr>
          <w:noProof/>
        </w:rPr>
        <w:drawing>
          <wp:inline distT="0" distB="0" distL="0" distR="0" wp14:anchorId="165806CB" wp14:editId="147D4293">
            <wp:extent cx="5634840" cy="3439486"/>
            <wp:effectExtent l="0" t="0" r="444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8998" cy="3442024"/>
                    </a:xfrm>
                    <a:prstGeom prst="rect">
                      <a:avLst/>
                    </a:prstGeom>
                  </pic:spPr>
                </pic:pic>
              </a:graphicData>
            </a:graphic>
          </wp:inline>
        </w:drawing>
      </w:r>
    </w:p>
    <w:p w14:paraId="452C452C" w14:textId="77777777" w:rsidR="00291D7B" w:rsidRPr="00A15A5C" w:rsidRDefault="00291D7B" w:rsidP="00291D7B">
      <w:pPr>
        <w:spacing w:line="360" w:lineRule="auto"/>
        <w:jc w:val="both"/>
        <w:rPr>
          <w:rFonts w:ascii="Arial" w:hAnsi="Arial" w:cs="Arial"/>
          <w:sz w:val="20"/>
          <w:szCs w:val="20"/>
        </w:rPr>
      </w:pPr>
    </w:p>
    <w:p w14:paraId="7897ED9C" w14:textId="79DA7298" w:rsidR="001D2CFA" w:rsidRPr="00A15A5C" w:rsidRDefault="00DB3CBC" w:rsidP="00636ED8">
      <w:pPr>
        <w:spacing w:before="240" w:after="240" w:line="480" w:lineRule="auto"/>
        <w:jc w:val="both"/>
        <w:rPr>
          <w:rFonts w:ascii="Arial" w:eastAsia="Times New Roman" w:hAnsi="Arial" w:cs="Arial"/>
          <w:b/>
          <w:bCs/>
          <w:color w:val="000000"/>
        </w:rPr>
      </w:pPr>
      <w:r w:rsidRPr="00A15A5C">
        <w:rPr>
          <w:rFonts w:ascii="Arial" w:eastAsia="Times New Roman" w:hAnsi="Arial" w:cs="Arial"/>
          <w:b/>
          <w:bCs/>
          <w:color w:val="000000"/>
        </w:rPr>
        <w:lastRenderedPageBreak/>
        <w:t>Riferimenti bibliografici</w:t>
      </w:r>
    </w:p>
    <w:p w14:paraId="59609891" w14:textId="31380009" w:rsidR="00636ED8" w:rsidRPr="00A15A5C" w:rsidRDefault="00636ED8" w:rsidP="00636ED8">
      <w:pPr>
        <w:pStyle w:val="Paragrafoelenco"/>
        <w:widowControl w:val="0"/>
        <w:numPr>
          <w:ilvl w:val="0"/>
          <w:numId w:val="2"/>
        </w:numPr>
        <w:autoSpaceDE w:val="0"/>
        <w:autoSpaceDN w:val="0"/>
        <w:adjustRightInd w:val="0"/>
        <w:spacing w:line="480" w:lineRule="auto"/>
        <w:jc w:val="both"/>
        <w:rPr>
          <w:rFonts w:ascii="Arial" w:hAnsi="Arial" w:cs="Arial"/>
          <w:noProof/>
        </w:rPr>
      </w:pPr>
      <w:r w:rsidRPr="00A15A5C">
        <w:rPr>
          <w:rFonts w:ascii="Arial" w:hAnsi="Arial" w:cs="Arial"/>
          <w:noProof/>
        </w:rPr>
        <w:t xml:space="preserve">Agenzia nazionale per i servizi sanitari regionali (AGENAS). La mobilità sanitaria. 2012. </w:t>
      </w:r>
    </w:p>
    <w:p w14:paraId="4FC7A361" w14:textId="228447F5" w:rsidR="00DB3CBC" w:rsidRPr="00A15A5C" w:rsidRDefault="00DB3CBC" w:rsidP="00636ED8">
      <w:pPr>
        <w:pStyle w:val="Paragrafoelenco"/>
        <w:widowControl w:val="0"/>
        <w:numPr>
          <w:ilvl w:val="0"/>
          <w:numId w:val="2"/>
        </w:numPr>
        <w:autoSpaceDE w:val="0"/>
        <w:autoSpaceDN w:val="0"/>
        <w:adjustRightInd w:val="0"/>
        <w:spacing w:after="0" w:line="480" w:lineRule="auto"/>
        <w:jc w:val="both"/>
        <w:rPr>
          <w:rFonts w:ascii="Arial" w:hAnsi="Arial" w:cs="Arial"/>
          <w:noProof/>
          <w:color w:val="000000" w:themeColor="text1"/>
        </w:rPr>
      </w:pPr>
      <w:r w:rsidRPr="00A15A5C">
        <w:rPr>
          <w:rFonts w:ascii="Arial" w:hAnsi="Arial" w:cs="Arial"/>
          <w:noProof/>
          <w:color w:val="000000" w:themeColor="text1"/>
        </w:rPr>
        <w:t xml:space="preserve">Fondazione GIMBE. La mobilità sanitaria interregionale nel 2018. </w:t>
      </w:r>
      <w:r w:rsidR="009805FE" w:rsidRPr="00A15A5C">
        <w:rPr>
          <w:rFonts w:ascii="Arial" w:hAnsi="Arial" w:cs="Arial"/>
          <w:noProof/>
          <w:color w:val="000000" w:themeColor="text1"/>
          <w:lang w:val="en-US"/>
        </w:rPr>
        <w:t xml:space="preserve">Disponibile al sito: </w:t>
      </w:r>
      <w:hyperlink r:id="rId10" w:history="1">
        <w:r w:rsidRPr="00A15A5C">
          <w:rPr>
            <w:rStyle w:val="Collegamentoipertestuale"/>
            <w:rFonts w:ascii="Arial" w:hAnsi="Arial" w:cs="Arial"/>
            <w:noProof/>
            <w:color w:val="000000" w:themeColor="text1"/>
            <w:u w:val="none"/>
            <w:lang w:val="en-US"/>
          </w:rPr>
          <w:t>https://www.gimbe.org/mobilita_sanitaria2017</w:t>
        </w:r>
      </w:hyperlink>
    </w:p>
    <w:p w14:paraId="38D3A937" w14:textId="77777777" w:rsidR="00DB3CBC" w:rsidRPr="00A15A5C" w:rsidRDefault="00DB3CBC" w:rsidP="00DB3CBC">
      <w:pPr>
        <w:pStyle w:val="Paragrafoelenco"/>
        <w:widowControl w:val="0"/>
        <w:numPr>
          <w:ilvl w:val="0"/>
          <w:numId w:val="2"/>
        </w:numPr>
        <w:autoSpaceDE w:val="0"/>
        <w:autoSpaceDN w:val="0"/>
        <w:adjustRightInd w:val="0"/>
        <w:spacing w:after="0" w:line="480" w:lineRule="auto"/>
        <w:jc w:val="both"/>
        <w:rPr>
          <w:rFonts w:ascii="Arial" w:hAnsi="Arial" w:cs="Arial"/>
          <w:noProof/>
          <w:color w:val="000000" w:themeColor="text1"/>
          <w:lang w:val="en-US"/>
        </w:rPr>
      </w:pPr>
      <w:r w:rsidRPr="00A15A5C">
        <w:rPr>
          <w:rFonts w:ascii="Arial" w:hAnsi="Arial" w:cs="Arial"/>
          <w:noProof/>
          <w:color w:val="000000" w:themeColor="text1"/>
        </w:rPr>
        <w:t xml:space="preserve">Ministero della Salute. Rapporto annuale sull’attività di ricovero ospedaliero. Dati SDO 2019. 2020. </w:t>
      </w:r>
    </w:p>
    <w:p w14:paraId="0934D87F" w14:textId="4A74979F" w:rsidR="00DB3CBC" w:rsidRPr="00A15A5C" w:rsidRDefault="00DB3CBC" w:rsidP="00DB3CBC">
      <w:pPr>
        <w:pStyle w:val="Paragrafoelenco"/>
        <w:widowControl w:val="0"/>
        <w:numPr>
          <w:ilvl w:val="0"/>
          <w:numId w:val="2"/>
        </w:numPr>
        <w:autoSpaceDE w:val="0"/>
        <w:autoSpaceDN w:val="0"/>
        <w:adjustRightInd w:val="0"/>
        <w:spacing w:after="0" w:line="480" w:lineRule="auto"/>
        <w:jc w:val="both"/>
        <w:rPr>
          <w:rFonts w:ascii="Arial" w:hAnsi="Arial" w:cs="Arial"/>
          <w:noProof/>
          <w:color w:val="000000" w:themeColor="text1"/>
        </w:rPr>
      </w:pPr>
      <w:r w:rsidRPr="00A15A5C">
        <w:rPr>
          <w:rFonts w:ascii="Arial" w:hAnsi="Arial" w:cs="Arial"/>
          <w:noProof/>
          <w:color w:val="000000" w:themeColor="text1"/>
        </w:rPr>
        <w:t xml:space="preserve">Conferenza delle Regioni e delle Province Autonome. Accordo interregionale per la compensazione della mobilità sanitaria aggiornato all’anno 2019 - Regole tecniche. </w:t>
      </w:r>
    </w:p>
    <w:p w14:paraId="0F7D1591" w14:textId="77777777" w:rsidR="00DB3CBC" w:rsidRPr="00A15A5C" w:rsidRDefault="00DB3CBC" w:rsidP="00DB3CBC">
      <w:pPr>
        <w:pStyle w:val="Paragrafoelenco"/>
        <w:widowControl w:val="0"/>
        <w:numPr>
          <w:ilvl w:val="0"/>
          <w:numId w:val="2"/>
        </w:numPr>
        <w:autoSpaceDE w:val="0"/>
        <w:autoSpaceDN w:val="0"/>
        <w:adjustRightInd w:val="0"/>
        <w:spacing w:after="0" w:line="480" w:lineRule="auto"/>
        <w:jc w:val="both"/>
        <w:rPr>
          <w:rFonts w:ascii="Arial" w:hAnsi="Arial" w:cs="Arial"/>
          <w:noProof/>
          <w:color w:val="000000" w:themeColor="text1"/>
          <w:lang w:val="en-US"/>
        </w:rPr>
      </w:pPr>
      <w:r w:rsidRPr="00A15A5C">
        <w:rPr>
          <w:rFonts w:ascii="Arial" w:hAnsi="Arial" w:cs="Arial"/>
          <w:noProof/>
          <w:color w:val="000000" w:themeColor="text1"/>
        </w:rPr>
        <w:t xml:space="preserve">Istituto Nazionale di Statistica (ISTAT). Rapporto BES 2020. Il benessere equo e sostenibile in Italia. 2020. 1–240 p. </w:t>
      </w:r>
    </w:p>
    <w:p w14:paraId="4CB1149F" w14:textId="3764F327" w:rsidR="00DB3CBC" w:rsidRPr="00A15A5C" w:rsidRDefault="00DB3CBC" w:rsidP="00DB3CBC">
      <w:pPr>
        <w:pStyle w:val="Paragrafoelenco"/>
        <w:widowControl w:val="0"/>
        <w:numPr>
          <w:ilvl w:val="0"/>
          <w:numId w:val="2"/>
        </w:numPr>
        <w:autoSpaceDE w:val="0"/>
        <w:autoSpaceDN w:val="0"/>
        <w:adjustRightInd w:val="0"/>
        <w:spacing w:after="0" w:line="480" w:lineRule="auto"/>
        <w:jc w:val="both"/>
        <w:rPr>
          <w:rFonts w:ascii="Arial" w:hAnsi="Arial" w:cs="Arial"/>
          <w:noProof/>
          <w:color w:val="000000" w:themeColor="text1"/>
          <w:lang w:val="en-US"/>
        </w:rPr>
      </w:pPr>
      <w:r w:rsidRPr="00A15A5C">
        <w:rPr>
          <w:rFonts w:ascii="Arial" w:hAnsi="Arial" w:cs="Arial"/>
          <w:noProof/>
          <w:color w:val="000000" w:themeColor="text1"/>
          <w:lang w:val="en-US"/>
        </w:rPr>
        <w:t xml:space="preserve">Simeoni S, Frova L, De Curtis M. Inequalities in infant mortality in Italy. Ital J Pediatr. 2019;45(1):1–7. </w:t>
      </w:r>
    </w:p>
    <w:p w14:paraId="36D0FD34" w14:textId="1B6F496E" w:rsidR="0026348D" w:rsidRPr="00A15A5C" w:rsidRDefault="0026348D" w:rsidP="00DB3CBC">
      <w:pPr>
        <w:pStyle w:val="Paragrafoelenco"/>
        <w:widowControl w:val="0"/>
        <w:numPr>
          <w:ilvl w:val="0"/>
          <w:numId w:val="2"/>
        </w:numPr>
        <w:autoSpaceDE w:val="0"/>
        <w:autoSpaceDN w:val="0"/>
        <w:adjustRightInd w:val="0"/>
        <w:spacing w:after="0" w:line="480" w:lineRule="auto"/>
        <w:jc w:val="both"/>
        <w:rPr>
          <w:rFonts w:ascii="Arial" w:hAnsi="Arial" w:cs="Arial"/>
          <w:noProof/>
          <w:color w:val="000000" w:themeColor="text1"/>
          <w:lang w:val="en-US"/>
        </w:rPr>
      </w:pPr>
      <w:r w:rsidRPr="00A15A5C">
        <w:rPr>
          <w:rFonts w:ascii="Arial" w:hAnsi="Arial" w:cs="Arial"/>
          <w:noProof/>
        </w:rPr>
        <w:t xml:space="preserve">Cacciani L, Asole S, Polo A, Franco F, Lucchini R, De Curtis M, et al. </w:t>
      </w:r>
      <w:r w:rsidRPr="00A15A5C">
        <w:rPr>
          <w:rFonts w:ascii="Arial" w:hAnsi="Arial" w:cs="Arial"/>
          <w:noProof/>
          <w:lang w:val="en-US"/>
        </w:rPr>
        <w:t>Perinatal outcomes among immigrant mothers over two periods in a region of central Italy. BMC Public Health. 2011;11.</w:t>
      </w:r>
    </w:p>
    <w:p w14:paraId="740DFD52" w14:textId="0F93F734" w:rsidR="0026348D" w:rsidRPr="00A15A5C" w:rsidRDefault="0026348D" w:rsidP="0026348D">
      <w:pPr>
        <w:pStyle w:val="Paragrafoelenco"/>
        <w:widowControl w:val="0"/>
        <w:numPr>
          <w:ilvl w:val="0"/>
          <w:numId w:val="2"/>
        </w:numPr>
        <w:autoSpaceDE w:val="0"/>
        <w:autoSpaceDN w:val="0"/>
        <w:adjustRightInd w:val="0"/>
        <w:spacing w:line="480" w:lineRule="auto"/>
        <w:jc w:val="both"/>
        <w:rPr>
          <w:rFonts w:ascii="Arial" w:hAnsi="Arial" w:cs="Arial"/>
          <w:noProof/>
          <w:color w:val="000000" w:themeColor="text1"/>
        </w:rPr>
      </w:pPr>
      <w:r w:rsidRPr="00A15A5C">
        <w:rPr>
          <w:rFonts w:ascii="Arial" w:hAnsi="Arial" w:cs="Arial"/>
          <w:noProof/>
          <w:color w:val="000000" w:themeColor="text1"/>
        </w:rPr>
        <w:t>Ministero della Salute. Piano di rientro. Il punto della situazione Disponibile sul sito: http://www.salute.gov.it/portale/pianiRientro/dettaglioContenutiPianiRientro.jsp?lingua=italiano&amp;id=5022&amp;area=pianiRientro&amp;menu=vuoto</w:t>
      </w:r>
    </w:p>
    <w:p w14:paraId="6C95D62C" w14:textId="607601DD" w:rsidR="00BB71B1" w:rsidRPr="00A15A5C" w:rsidRDefault="00BB71B1" w:rsidP="0026348D">
      <w:pPr>
        <w:pStyle w:val="Paragrafoelenco"/>
        <w:widowControl w:val="0"/>
        <w:numPr>
          <w:ilvl w:val="0"/>
          <w:numId w:val="2"/>
        </w:numPr>
        <w:autoSpaceDE w:val="0"/>
        <w:autoSpaceDN w:val="0"/>
        <w:adjustRightInd w:val="0"/>
        <w:spacing w:after="0" w:line="480" w:lineRule="auto"/>
        <w:jc w:val="both"/>
        <w:rPr>
          <w:rFonts w:ascii="Arial" w:hAnsi="Arial" w:cs="Arial"/>
          <w:noProof/>
          <w:color w:val="000000" w:themeColor="text1"/>
        </w:rPr>
      </w:pPr>
      <w:r w:rsidRPr="00A15A5C">
        <w:rPr>
          <w:rFonts w:ascii="Arial" w:hAnsi="Arial" w:cs="Arial"/>
          <w:noProof/>
          <w:color w:val="000000" w:themeColor="text1"/>
        </w:rPr>
        <w:t xml:space="preserve">Caritas Italiana. Rapporto 2020 su povertà ed esclusione sociale in Italia. 2020. </w:t>
      </w:r>
      <w:hyperlink r:id="rId11" w:history="1">
        <w:r w:rsidR="0026348D" w:rsidRPr="00A15A5C">
          <w:rPr>
            <w:rStyle w:val="Collegamentoipertestuale"/>
            <w:rFonts w:ascii="Arial" w:hAnsi="Arial" w:cs="Arial"/>
            <w:noProof/>
            <w:color w:val="000000" w:themeColor="text1"/>
            <w:u w:val="none"/>
          </w:rPr>
          <w:t>http://s2ew.caritasitaliana.it/materiali/Rapporto_Caritas_2020/Report_CaritasITA_2020.pdf</w:t>
        </w:r>
      </w:hyperlink>
    </w:p>
    <w:p w14:paraId="3E14E085" w14:textId="47B26973" w:rsidR="0026348D" w:rsidRPr="00A15A5C" w:rsidRDefault="0026348D" w:rsidP="0026348D">
      <w:pPr>
        <w:pStyle w:val="Paragrafoelenco"/>
        <w:widowControl w:val="0"/>
        <w:numPr>
          <w:ilvl w:val="0"/>
          <w:numId w:val="2"/>
        </w:numPr>
        <w:autoSpaceDE w:val="0"/>
        <w:autoSpaceDN w:val="0"/>
        <w:adjustRightInd w:val="0"/>
        <w:spacing w:line="480" w:lineRule="auto"/>
        <w:jc w:val="both"/>
        <w:rPr>
          <w:rFonts w:ascii="Arial" w:hAnsi="Arial" w:cs="Arial"/>
          <w:noProof/>
          <w:color w:val="000000" w:themeColor="text1"/>
        </w:rPr>
      </w:pPr>
      <w:r w:rsidRPr="00A15A5C">
        <w:rPr>
          <w:rFonts w:ascii="Arial" w:hAnsi="Arial" w:cs="Arial"/>
          <w:noProof/>
          <w:color w:val="000000" w:themeColor="text1"/>
        </w:rPr>
        <w:t xml:space="preserve">Save the Children. Proteggiamo i bambini. Whatever It Takes. L’impatto della pandemia sui bambini e sugli adolescenti in Italia e nel mondo. 2020. </w:t>
      </w:r>
    </w:p>
    <w:p w14:paraId="4F00CBC3" w14:textId="57D4C676" w:rsidR="00BB71B1" w:rsidRPr="00A15A5C" w:rsidRDefault="0026348D" w:rsidP="0026348D">
      <w:pPr>
        <w:pStyle w:val="Paragrafoelenco"/>
        <w:widowControl w:val="0"/>
        <w:numPr>
          <w:ilvl w:val="0"/>
          <w:numId w:val="2"/>
        </w:numPr>
        <w:autoSpaceDE w:val="0"/>
        <w:autoSpaceDN w:val="0"/>
        <w:adjustRightInd w:val="0"/>
        <w:spacing w:line="480" w:lineRule="auto"/>
        <w:jc w:val="both"/>
        <w:rPr>
          <w:rFonts w:ascii="Arial" w:hAnsi="Arial" w:cs="Arial"/>
          <w:noProof/>
          <w:color w:val="000000" w:themeColor="text1"/>
        </w:rPr>
      </w:pPr>
      <w:r w:rsidRPr="00A15A5C">
        <w:rPr>
          <w:rFonts w:ascii="Arial" w:hAnsi="Arial" w:cs="Arial"/>
          <w:noProof/>
          <w:color w:val="000000" w:themeColor="text1"/>
        </w:rPr>
        <w:t xml:space="preserve">Centro Studi Investimenti Sociali (CENSIS). Italia sotto sforzo - Diario della transizione 2020. La scuola e i suoi esclusi. 2020; Disponibile sul sito: </w:t>
      </w:r>
      <w:hyperlink r:id="rId12" w:history="1">
        <w:r w:rsidRPr="00A15A5C">
          <w:rPr>
            <w:rStyle w:val="Collegamentoipertestuale"/>
            <w:rFonts w:ascii="Arial" w:hAnsi="Arial" w:cs="Arial"/>
            <w:noProof/>
            <w:color w:val="000000" w:themeColor="text1"/>
            <w:u w:val="none"/>
          </w:rPr>
          <w:t>https://www.censis.it/sites/default/files/downloads/2_Diario della Transizione.pdf</w:t>
        </w:r>
      </w:hyperlink>
    </w:p>
    <w:p w14:paraId="140EA609" w14:textId="558518E8" w:rsidR="0026348D" w:rsidRPr="00A15A5C" w:rsidRDefault="0026348D" w:rsidP="0026348D">
      <w:pPr>
        <w:pStyle w:val="Paragrafoelenco"/>
        <w:widowControl w:val="0"/>
        <w:numPr>
          <w:ilvl w:val="0"/>
          <w:numId w:val="2"/>
        </w:numPr>
        <w:autoSpaceDE w:val="0"/>
        <w:autoSpaceDN w:val="0"/>
        <w:adjustRightInd w:val="0"/>
        <w:spacing w:line="480" w:lineRule="auto"/>
        <w:jc w:val="both"/>
        <w:rPr>
          <w:rFonts w:ascii="Arial" w:hAnsi="Arial" w:cs="Arial"/>
          <w:noProof/>
          <w:color w:val="000000" w:themeColor="text1"/>
        </w:rPr>
      </w:pPr>
      <w:r w:rsidRPr="00A15A5C">
        <w:rPr>
          <w:rFonts w:ascii="Arial" w:hAnsi="Arial" w:cs="Arial"/>
          <w:noProof/>
          <w:color w:val="000000" w:themeColor="text1"/>
          <w:lang w:val="en-US"/>
        </w:rPr>
        <w:t xml:space="preserve">European Commission. Recovery plan for Europe. </w:t>
      </w:r>
      <w:r w:rsidRPr="00A15A5C">
        <w:rPr>
          <w:rFonts w:ascii="Arial" w:hAnsi="Arial" w:cs="Arial"/>
          <w:noProof/>
          <w:color w:val="000000" w:themeColor="text1"/>
        </w:rPr>
        <w:t>2021. Disponibile sul sito: https://ec.europa.eu/info/strategy/recovery-plan-europe_en</w:t>
      </w:r>
    </w:p>
    <w:sectPr w:rsidR="0026348D" w:rsidRPr="00A15A5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3D5BB" w14:textId="77777777" w:rsidR="00C73B5A" w:rsidRDefault="00C73B5A" w:rsidP="00BB71B1">
      <w:pPr>
        <w:spacing w:after="0" w:line="240" w:lineRule="auto"/>
      </w:pPr>
      <w:r>
        <w:separator/>
      </w:r>
    </w:p>
  </w:endnote>
  <w:endnote w:type="continuationSeparator" w:id="0">
    <w:p w14:paraId="0D3BABE7" w14:textId="77777777" w:rsidR="00C73B5A" w:rsidRDefault="00C73B5A" w:rsidP="00BB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C199" w14:textId="77777777" w:rsidR="00C73B5A" w:rsidRDefault="00C73B5A" w:rsidP="00BB71B1">
      <w:pPr>
        <w:spacing w:after="0" w:line="240" w:lineRule="auto"/>
      </w:pPr>
      <w:r>
        <w:separator/>
      </w:r>
    </w:p>
  </w:footnote>
  <w:footnote w:type="continuationSeparator" w:id="0">
    <w:p w14:paraId="62B026C0" w14:textId="77777777" w:rsidR="00C73B5A" w:rsidRDefault="00C73B5A" w:rsidP="00BB7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54919"/>
    <w:multiLevelType w:val="hybridMultilevel"/>
    <w:tmpl w:val="3606DD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B042144"/>
    <w:multiLevelType w:val="multilevel"/>
    <w:tmpl w:val="D54ED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9214FA"/>
    <w:multiLevelType w:val="hybridMultilevel"/>
    <w:tmpl w:val="774E6F00"/>
    <w:lvl w:ilvl="0" w:tplc="138063F8">
      <w:start w:val="1"/>
      <w:numFmt w:val="decimal"/>
      <w:lvlText w:val="%1."/>
      <w:lvlJc w:val="left"/>
      <w:pPr>
        <w:ind w:left="1000" w:hanging="6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E4"/>
    <w:rsid w:val="00062C7C"/>
    <w:rsid w:val="0014248F"/>
    <w:rsid w:val="001647BB"/>
    <w:rsid w:val="001B4139"/>
    <w:rsid w:val="001D2CFA"/>
    <w:rsid w:val="0026348D"/>
    <w:rsid w:val="002717E6"/>
    <w:rsid w:val="00291D7B"/>
    <w:rsid w:val="002C3E2A"/>
    <w:rsid w:val="002F59FC"/>
    <w:rsid w:val="00302EE9"/>
    <w:rsid w:val="00314ED5"/>
    <w:rsid w:val="00341A1A"/>
    <w:rsid w:val="003A68CA"/>
    <w:rsid w:val="003A7B1A"/>
    <w:rsid w:val="00473222"/>
    <w:rsid w:val="00536104"/>
    <w:rsid w:val="005C61F0"/>
    <w:rsid w:val="005D6319"/>
    <w:rsid w:val="00636ED8"/>
    <w:rsid w:val="006D1CE8"/>
    <w:rsid w:val="00754CD9"/>
    <w:rsid w:val="0078587B"/>
    <w:rsid w:val="00793912"/>
    <w:rsid w:val="007B5D86"/>
    <w:rsid w:val="00817C46"/>
    <w:rsid w:val="008379D4"/>
    <w:rsid w:val="00855DE4"/>
    <w:rsid w:val="00885BC9"/>
    <w:rsid w:val="00893850"/>
    <w:rsid w:val="008C1A1D"/>
    <w:rsid w:val="009217F8"/>
    <w:rsid w:val="009625D7"/>
    <w:rsid w:val="009805FE"/>
    <w:rsid w:val="009B44FC"/>
    <w:rsid w:val="00A15A5C"/>
    <w:rsid w:val="00A2083D"/>
    <w:rsid w:val="00A702E5"/>
    <w:rsid w:val="00A8511F"/>
    <w:rsid w:val="00AA5363"/>
    <w:rsid w:val="00BA3877"/>
    <w:rsid w:val="00BB71B1"/>
    <w:rsid w:val="00BC366B"/>
    <w:rsid w:val="00BE5554"/>
    <w:rsid w:val="00C3132C"/>
    <w:rsid w:val="00C56F24"/>
    <w:rsid w:val="00C73B5A"/>
    <w:rsid w:val="00C843D8"/>
    <w:rsid w:val="00D329A1"/>
    <w:rsid w:val="00D608FA"/>
    <w:rsid w:val="00D62E75"/>
    <w:rsid w:val="00D72E4D"/>
    <w:rsid w:val="00D863B3"/>
    <w:rsid w:val="00DB3CBC"/>
    <w:rsid w:val="00E577F0"/>
    <w:rsid w:val="00EA1C81"/>
    <w:rsid w:val="00EF502C"/>
    <w:rsid w:val="00F06F65"/>
    <w:rsid w:val="00F84A54"/>
    <w:rsid w:val="00F943F4"/>
    <w:rsid w:val="00F95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FE68"/>
  <w15:chartTrackingRefBased/>
  <w15:docId w15:val="{4893B3EB-D101-4487-9046-601A2336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55DE4"/>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DE4"/>
    <w:pPr>
      <w:ind w:left="720"/>
      <w:contextualSpacing/>
    </w:pPr>
  </w:style>
  <w:style w:type="character" w:styleId="Collegamentoipertestuale">
    <w:name w:val="Hyperlink"/>
    <w:basedOn w:val="Carpredefinitoparagrafo"/>
    <w:uiPriority w:val="99"/>
    <w:unhideWhenUsed/>
    <w:rsid w:val="00DB3CBC"/>
    <w:rPr>
      <w:color w:val="0563C1" w:themeColor="hyperlink"/>
      <w:u w:val="single"/>
    </w:rPr>
  </w:style>
  <w:style w:type="paragraph" w:styleId="Intestazione">
    <w:name w:val="header"/>
    <w:basedOn w:val="Normale"/>
    <w:link w:val="IntestazioneCarattere"/>
    <w:uiPriority w:val="99"/>
    <w:unhideWhenUsed/>
    <w:rsid w:val="00BB71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71B1"/>
    <w:rPr>
      <w:rFonts w:ascii="Calibri" w:eastAsia="Calibri" w:hAnsi="Calibri" w:cs="Calibri"/>
      <w:lang w:eastAsia="it-IT"/>
    </w:rPr>
  </w:style>
  <w:style w:type="paragraph" w:styleId="Pidipagina">
    <w:name w:val="footer"/>
    <w:basedOn w:val="Normale"/>
    <w:link w:val="PidipaginaCarattere"/>
    <w:uiPriority w:val="99"/>
    <w:unhideWhenUsed/>
    <w:rsid w:val="00BB71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71B1"/>
    <w:rPr>
      <w:rFonts w:ascii="Calibri" w:eastAsia="Calibri" w:hAnsi="Calibri" w:cs="Calibri"/>
      <w:lang w:eastAsia="it-IT"/>
    </w:rPr>
  </w:style>
  <w:style w:type="character" w:customStyle="1" w:styleId="Menzionenonrisolta1">
    <w:name w:val="Menzione non risolta1"/>
    <w:basedOn w:val="Carpredefinitoparagrafo"/>
    <w:uiPriority w:val="99"/>
    <w:semiHidden/>
    <w:unhideWhenUsed/>
    <w:rsid w:val="0026348D"/>
    <w:rPr>
      <w:color w:val="605E5C"/>
      <w:shd w:val="clear" w:color="auto" w:fill="E1DFDD"/>
    </w:rPr>
  </w:style>
  <w:style w:type="paragraph" w:styleId="Testofumetto">
    <w:name w:val="Balloon Text"/>
    <w:basedOn w:val="Normale"/>
    <w:link w:val="TestofumettoCarattere"/>
    <w:uiPriority w:val="99"/>
    <w:semiHidden/>
    <w:unhideWhenUsed/>
    <w:rsid w:val="002C3E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3E2A"/>
    <w:rPr>
      <w:rFonts w:ascii="Segoe UI" w:eastAsia="Calibr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3297-CA70-4C26-9346-1230CA32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3187</Words>
  <Characters>18171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Microsoft Office User</cp:lastModifiedBy>
  <cp:revision>2</cp:revision>
  <cp:lastPrinted>2021-04-09T13:39:00Z</cp:lastPrinted>
  <dcterms:created xsi:type="dcterms:W3CDTF">2021-07-01T07:39:00Z</dcterms:created>
  <dcterms:modified xsi:type="dcterms:W3CDTF">2021-07-01T07:39:00Z</dcterms:modified>
</cp:coreProperties>
</file>